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35" w:rsidRPr="00EC6677" w:rsidRDefault="007E0EB4" w:rsidP="007E0EB4">
      <w:pPr>
        <w:spacing w:after="0"/>
        <w:rPr>
          <w:b/>
          <w:sz w:val="24"/>
          <w:szCs w:val="24"/>
        </w:rPr>
      </w:pPr>
      <w:r w:rsidRPr="00EC6677">
        <w:rPr>
          <w:b/>
          <w:sz w:val="24"/>
          <w:szCs w:val="24"/>
        </w:rPr>
        <w:t>GOVERNANCE COMMITTEE, THURSDAY 30 MAY 2019</w:t>
      </w:r>
    </w:p>
    <w:p w:rsidR="007E0EB4" w:rsidRPr="00EC6677" w:rsidRDefault="007E0EB4" w:rsidP="007E0EB4">
      <w:pPr>
        <w:spacing w:after="0"/>
        <w:rPr>
          <w:b/>
          <w:sz w:val="24"/>
          <w:szCs w:val="24"/>
        </w:rPr>
      </w:pPr>
    </w:p>
    <w:p w:rsidR="007E0EB4" w:rsidRPr="00EC6677" w:rsidRDefault="007E0EB4" w:rsidP="007E0EB4">
      <w:pPr>
        <w:spacing w:after="0"/>
        <w:rPr>
          <w:b/>
          <w:sz w:val="24"/>
          <w:szCs w:val="24"/>
        </w:rPr>
      </w:pPr>
      <w:r w:rsidRPr="00EC6677">
        <w:rPr>
          <w:b/>
          <w:sz w:val="24"/>
          <w:szCs w:val="24"/>
        </w:rPr>
        <w:t>DRAFT STATEMENT OF ACCOUNTS 2018/19</w:t>
      </w:r>
    </w:p>
    <w:p w:rsidR="007E0EB4" w:rsidRPr="00EC6677" w:rsidRDefault="007E0EB4" w:rsidP="007E0EB4">
      <w:pPr>
        <w:spacing w:after="0"/>
        <w:rPr>
          <w:b/>
          <w:sz w:val="24"/>
          <w:szCs w:val="24"/>
        </w:rPr>
      </w:pPr>
      <w:r w:rsidRPr="00EC6677">
        <w:rPr>
          <w:b/>
          <w:sz w:val="24"/>
          <w:szCs w:val="24"/>
        </w:rPr>
        <w:t>ADDITIONAL AMENDMENTS MADE</w:t>
      </w:r>
    </w:p>
    <w:p w:rsidR="007E0EB4" w:rsidRPr="00EC6677" w:rsidRDefault="007E0EB4" w:rsidP="007E0EB4">
      <w:pPr>
        <w:spacing w:after="0"/>
        <w:rPr>
          <w:b/>
          <w:sz w:val="24"/>
          <w:szCs w:val="24"/>
        </w:rPr>
      </w:pPr>
    </w:p>
    <w:p w:rsidR="00271B3D" w:rsidRPr="00F81480" w:rsidRDefault="00271B3D" w:rsidP="007E0EB4">
      <w:pPr>
        <w:spacing w:after="0"/>
        <w:rPr>
          <w:b/>
        </w:rPr>
      </w:pPr>
    </w:p>
    <w:p w:rsidR="00271B3D" w:rsidRPr="00F81480" w:rsidRDefault="00271B3D" w:rsidP="007E0EB4">
      <w:pPr>
        <w:spacing w:after="0"/>
        <w:rPr>
          <w:b/>
        </w:rPr>
      </w:pPr>
      <w:r w:rsidRPr="00F81480">
        <w:rPr>
          <w:b/>
        </w:rPr>
        <w:t>1</w:t>
      </w:r>
      <w:r w:rsidRPr="00F81480">
        <w:rPr>
          <w:b/>
        </w:rPr>
        <w:tab/>
        <w:t>ANALYSIS OF SERVICE EXPENDITURE AND INCOME</w:t>
      </w:r>
      <w:bookmarkStart w:id="0" w:name="_GoBack"/>
      <w:bookmarkEnd w:id="0"/>
    </w:p>
    <w:p w:rsidR="00271B3D" w:rsidRPr="00F81480" w:rsidRDefault="00271B3D" w:rsidP="007E0EB4">
      <w:pPr>
        <w:spacing w:after="0"/>
        <w:rPr>
          <w:b/>
        </w:rPr>
      </w:pPr>
    </w:p>
    <w:p w:rsidR="007E0EB4" w:rsidRDefault="007E0EB4" w:rsidP="007E0EB4">
      <w:pPr>
        <w:spacing w:after="0"/>
      </w:pPr>
      <w:r>
        <w:t>Two exercises were undertaken which have affected the detail of:</w:t>
      </w:r>
    </w:p>
    <w:p w:rsidR="007E0EB4" w:rsidRDefault="007E0EB4" w:rsidP="00057471">
      <w:pPr>
        <w:pStyle w:val="ListParagraph"/>
        <w:numPr>
          <w:ilvl w:val="0"/>
          <w:numId w:val="1"/>
        </w:numPr>
        <w:spacing w:after="0"/>
      </w:pPr>
      <w:r>
        <w:t>Note 1: Expenditure and Funding Analysis</w:t>
      </w:r>
      <w:r w:rsidR="00057471">
        <w:t xml:space="preserve"> (EFA)</w:t>
      </w:r>
    </w:p>
    <w:p w:rsidR="007E0EB4" w:rsidRDefault="007E0EB4" w:rsidP="00057471">
      <w:pPr>
        <w:pStyle w:val="ListParagraph"/>
        <w:numPr>
          <w:ilvl w:val="0"/>
          <w:numId w:val="1"/>
        </w:numPr>
        <w:spacing w:after="0"/>
      </w:pPr>
      <w:r>
        <w:t>Comprehensive Income and Expenditure Statement</w:t>
      </w:r>
      <w:r w:rsidR="00057471">
        <w:t xml:space="preserve"> (CIES)</w:t>
      </w:r>
    </w:p>
    <w:p w:rsidR="007E0EB4" w:rsidRDefault="007E0EB4" w:rsidP="00057471">
      <w:pPr>
        <w:pStyle w:val="ListParagraph"/>
        <w:numPr>
          <w:ilvl w:val="0"/>
          <w:numId w:val="1"/>
        </w:numPr>
        <w:spacing w:after="0"/>
      </w:pPr>
      <w:r>
        <w:t>Note 8: Note to the Expenditure and Funding Analysis</w:t>
      </w:r>
    </w:p>
    <w:p w:rsidR="007E0EB4" w:rsidRDefault="007E0EB4" w:rsidP="007E0EB4">
      <w:pPr>
        <w:spacing w:after="0"/>
      </w:pPr>
    </w:p>
    <w:p w:rsidR="007E0EB4" w:rsidRDefault="007E0EB4" w:rsidP="007E0EB4">
      <w:pPr>
        <w:spacing w:after="0"/>
      </w:pPr>
      <w:r>
        <w:t>These are:</w:t>
      </w:r>
    </w:p>
    <w:p w:rsidR="007E0EB4" w:rsidRDefault="007E0EB4" w:rsidP="00057471">
      <w:pPr>
        <w:pStyle w:val="ListParagraph"/>
        <w:numPr>
          <w:ilvl w:val="0"/>
          <w:numId w:val="2"/>
        </w:numPr>
        <w:spacing w:after="0"/>
      </w:pPr>
      <w:r>
        <w:t>A review to ensure that all service cost centres were correctly and</w:t>
      </w:r>
      <w:r w:rsidR="00057471">
        <w:t xml:space="preserve"> identically aligned in the out</w:t>
      </w:r>
      <w:r>
        <w:t>turn figures shown under ‘Financial Performance’ in the Narrative Report</w:t>
      </w:r>
      <w:r w:rsidR="00057471">
        <w:t xml:space="preserve"> and in the EFA</w:t>
      </w:r>
      <w:r>
        <w:t>. This revealed that a number of cost centres, correctly listed under Neighbourhoods and Development in the former, were incorrectly listed under Planning and Property in the latter.</w:t>
      </w:r>
    </w:p>
    <w:p w:rsidR="007E0EB4" w:rsidRDefault="007E0EB4" w:rsidP="00057471">
      <w:pPr>
        <w:pStyle w:val="ListParagraph"/>
        <w:numPr>
          <w:ilvl w:val="0"/>
          <w:numId w:val="2"/>
        </w:numPr>
        <w:spacing w:after="0"/>
      </w:pPr>
      <w:r>
        <w:t xml:space="preserve">A review of </w:t>
      </w:r>
      <w:r w:rsidR="00057471">
        <w:t xml:space="preserve">the </w:t>
      </w:r>
      <w:r>
        <w:t xml:space="preserve">completeness of the information in the </w:t>
      </w:r>
      <w:r w:rsidR="00057471">
        <w:t>EFA</w:t>
      </w:r>
      <w:r>
        <w:t xml:space="preserve"> and </w:t>
      </w:r>
      <w:r w:rsidR="00057471">
        <w:t>reconciliation of the individual service lines to the corresponding lines in the outturn table. This indicated that there was a need to include additional disclosures in respect of non-statutory adjustments in the EFA. The need to do so did not arise in 2017/18, because the presentation of the outturn figures was by type of expenditure and not by service as is the case in 2018/19. These disclosures have now been added and the corresponding figures for 2017/18 incorporated. Completion of this has enabled the full reconciliation of the services lines between the outturn table and the EFA, thus producing the full effect, in terms of transparency of actual service expenditure, that the EFA is designed to provide.</w:t>
      </w:r>
    </w:p>
    <w:p w:rsidR="007E0EB4" w:rsidRDefault="007E0EB4" w:rsidP="007E0EB4">
      <w:pPr>
        <w:spacing w:after="0"/>
      </w:pPr>
    </w:p>
    <w:p w:rsidR="007E0EB4" w:rsidRDefault="00057471" w:rsidP="007E0EB4">
      <w:pPr>
        <w:spacing w:after="0"/>
      </w:pPr>
      <w:r>
        <w:t>The overall totals remain unchanged and there is no impact on the overall movement on the General Fund Balance. The amendments are movement</w:t>
      </w:r>
      <w:r w:rsidR="00EC6677">
        <w:t>s</w:t>
      </w:r>
      <w:r>
        <w:t xml:space="preserve"> between </w:t>
      </w:r>
      <w:r w:rsidR="00EC6677">
        <w:t>lines and columns only, with a further</w:t>
      </w:r>
      <w:r>
        <w:t xml:space="preserve"> </w:t>
      </w:r>
      <w:r w:rsidR="00EC6677">
        <w:t>column added in Note 8.</w:t>
      </w:r>
    </w:p>
    <w:p w:rsidR="007E0EB4" w:rsidRDefault="007E0EB4" w:rsidP="007E0EB4">
      <w:pPr>
        <w:spacing w:after="0"/>
      </w:pPr>
    </w:p>
    <w:p w:rsidR="007E0EB4" w:rsidRDefault="00EC6677" w:rsidP="007E0EB4">
      <w:pPr>
        <w:spacing w:after="0"/>
      </w:pPr>
      <w:r>
        <w:t>The amended tables are shown below, with the amendments (other than rounding differences) highlighted.</w:t>
      </w:r>
    </w:p>
    <w:p w:rsidR="00EC6677" w:rsidRDefault="00EC6677" w:rsidP="007E0EB4">
      <w:pPr>
        <w:spacing w:after="0"/>
      </w:pPr>
    </w:p>
    <w:p w:rsidR="00EC6677" w:rsidRDefault="00EC6677">
      <w:r>
        <w:br w:type="page"/>
      </w:r>
    </w:p>
    <w:p w:rsidR="00EC6677" w:rsidRDefault="00EC6677" w:rsidP="007E0EB4">
      <w:pPr>
        <w:spacing w:after="0"/>
      </w:pPr>
    </w:p>
    <w:p w:rsidR="00EC6677" w:rsidRPr="00EC6677" w:rsidRDefault="00EC6677" w:rsidP="007E0EB4">
      <w:pPr>
        <w:spacing w:after="0"/>
        <w:rPr>
          <w:b/>
        </w:rPr>
      </w:pPr>
      <w:r w:rsidRPr="00EC6677">
        <w:rPr>
          <w:b/>
        </w:rPr>
        <w:t>EXPENDITURE AND FUNDING ANALYSIS</w:t>
      </w:r>
    </w:p>
    <w:p w:rsidR="00EC6677" w:rsidRDefault="00EC6677" w:rsidP="007E0EB4">
      <w:pPr>
        <w:spacing w:after="0"/>
      </w:pPr>
    </w:p>
    <w:tbl>
      <w:tblPr>
        <w:tblW w:w="9340" w:type="dxa"/>
        <w:tblLook w:val="04A0" w:firstRow="1" w:lastRow="0" w:firstColumn="1" w:lastColumn="0" w:noHBand="0" w:noVBand="1"/>
      </w:tblPr>
      <w:tblGrid>
        <w:gridCol w:w="887"/>
        <w:gridCol w:w="880"/>
        <w:gridCol w:w="887"/>
        <w:gridCol w:w="4060"/>
        <w:gridCol w:w="887"/>
        <w:gridCol w:w="880"/>
        <w:gridCol w:w="887"/>
      </w:tblGrid>
      <w:tr w:rsidR="00EC6677" w:rsidRPr="00EC6677" w:rsidTr="00EC6677">
        <w:trPr>
          <w:trHeight w:val="42"/>
        </w:trPr>
        <w:tc>
          <w:tcPr>
            <w:tcW w:w="880" w:type="dxa"/>
            <w:tcBorders>
              <w:top w:val="nil"/>
              <w:left w:val="nil"/>
              <w:bottom w:val="nil"/>
              <w:right w:val="nil"/>
            </w:tcBorders>
            <w:shd w:val="clear" w:color="auto" w:fill="auto"/>
            <w:noWrap/>
            <w:vAlign w:val="bottom"/>
            <w:hideMark/>
          </w:tcPr>
          <w:p w:rsidR="00EC6677" w:rsidRPr="00EC6677" w:rsidRDefault="00EC6677" w:rsidP="00EC6677">
            <w:pPr>
              <w:spacing w:after="0" w:line="240" w:lineRule="auto"/>
              <w:rPr>
                <w:rFonts w:ascii="Times New Roman" w:eastAsia="Times New Roman" w:hAnsi="Times New Roman" w:cs="Times New Roman"/>
                <w:sz w:val="24"/>
                <w:szCs w:val="24"/>
                <w:lang w:eastAsia="en-GB"/>
              </w:rPr>
            </w:pPr>
          </w:p>
        </w:tc>
        <w:tc>
          <w:tcPr>
            <w:tcW w:w="880" w:type="dxa"/>
            <w:tcBorders>
              <w:top w:val="nil"/>
              <w:left w:val="nil"/>
              <w:bottom w:val="nil"/>
              <w:right w:val="nil"/>
            </w:tcBorders>
            <w:shd w:val="clear" w:color="auto" w:fill="auto"/>
            <w:noWrap/>
            <w:vAlign w:val="bottom"/>
            <w:hideMark/>
          </w:tcPr>
          <w:p w:rsidR="00EC6677" w:rsidRPr="00EC6677" w:rsidRDefault="00EC6677" w:rsidP="00EC6677">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EC6677" w:rsidRPr="00EC6677" w:rsidRDefault="00EC6677" w:rsidP="00EC6677">
            <w:pPr>
              <w:spacing w:after="0" w:line="240" w:lineRule="auto"/>
              <w:rPr>
                <w:rFonts w:ascii="Times New Roman" w:eastAsia="Times New Roman" w:hAnsi="Times New Roman" w:cs="Times New Roman"/>
                <w:sz w:val="20"/>
                <w:szCs w:val="20"/>
                <w:lang w:eastAsia="en-GB"/>
              </w:rPr>
            </w:pPr>
          </w:p>
        </w:tc>
        <w:tc>
          <w:tcPr>
            <w:tcW w:w="4060" w:type="dxa"/>
            <w:tcBorders>
              <w:top w:val="nil"/>
              <w:left w:val="nil"/>
              <w:bottom w:val="nil"/>
              <w:right w:val="nil"/>
            </w:tcBorders>
            <w:shd w:val="clear" w:color="auto" w:fill="auto"/>
            <w:noWrap/>
            <w:vAlign w:val="bottom"/>
            <w:hideMark/>
          </w:tcPr>
          <w:p w:rsidR="00EC6677" w:rsidRPr="00EC6677" w:rsidRDefault="00EC6677" w:rsidP="00EC6677">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EC6677" w:rsidRPr="00EC6677" w:rsidRDefault="00EC6677" w:rsidP="00EC6677">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EC6677" w:rsidRPr="00EC6677" w:rsidRDefault="00EC6677" w:rsidP="00EC6677">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EC6677" w:rsidRPr="00EC6677" w:rsidRDefault="00EC6677" w:rsidP="00EC6677">
            <w:pPr>
              <w:spacing w:after="0" w:line="240" w:lineRule="auto"/>
              <w:rPr>
                <w:rFonts w:ascii="Times New Roman" w:eastAsia="Times New Roman" w:hAnsi="Times New Roman" w:cs="Times New Roman"/>
                <w:sz w:val="20"/>
                <w:szCs w:val="20"/>
                <w:lang w:eastAsia="en-GB"/>
              </w:rPr>
            </w:pPr>
          </w:p>
        </w:tc>
      </w:tr>
      <w:tr w:rsidR="00EC6677" w:rsidRPr="00EC6677" w:rsidTr="00EC6677">
        <w:trPr>
          <w:trHeight w:val="405"/>
        </w:trPr>
        <w:tc>
          <w:tcPr>
            <w:tcW w:w="2640"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EC6677" w:rsidRPr="00EC6677" w:rsidRDefault="00EC6677" w:rsidP="00EC6677">
            <w:pPr>
              <w:spacing w:after="0" w:line="240" w:lineRule="auto"/>
              <w:jc w:val="center"/>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2017/18</w:t>
            </w:r>
          </w:p>
        </w:tc>
        <w:tc>
          <w:tcPr>
            <w:tcW w:w="4060" w:type="dxa"/>
            <w:tcBorders>
              <w:top w:val="single" w:sz="4" w:space="0" w:color="auto"/>
              <w:left w:val="nil"/>
              <w:bottom w:val="nil"/>
              <w:right w:val="single" w:sz="4" w:space="0" w:color="auto"/>
            </w:tcBorders>
            <w:shd w:val="clear" w:color="000000" w:fill="B8CCE4"/>
            <w:vAlign w:val="center"/>
            <w:hideMark/>
          </w:tcPr>
          <w:p w:rsidR="00EC6677" w:rsidRPr="00EC6677" w:rsidRDefault="00EC6677" w:rsidP="00EC6677">
            <w:pPr>
              <w:spacing w:after="0" w:line="240" w:lineRule="auto"/>
              <w:jc w:val="both"/>
              <w:rPr>
                <w:rFonts w:ascii="Arial" w:eastAsia="Times New Roman" w:hAnsi="Arial" w:cs="Arial"/>
                <w:sz w:val="20"/>
                <w:szCs w:val="20"/>
                <w:lang w:eastAsia="en-GB"/>
              </w:rPr>
            </w:pPr>
            <w:r w:rsidRPr="00EC6677">
              <w:rPr>
                <w:rFonts w:ascii="Arial" w:eastAsia="Times New Roman" w:hAnsi="Arial" w:cs="Arial"/>
                <w:sz w:val="20"/>
                <w:szCs w:val="20"/>
                <w:lang w:eastAsia="en-GB"/>
              </w:rPr>
              <w:t> </w:t>
            </w:r>
          </w:p>
        </w:tc>
        <w:tc>
          <w:tcPr>
            <w:tcW w:w="2640" w:type="dxa"/>
            <w:gridSpan w:val="3"/>
            <w:tcBorders>
              <w:top w:val="single" w:sz="4" w:space="0" w:color="auto"/>
              <w:left w:val="nil"/>
              <w:bottom w:val="single" w:sz="4" w:space="0" w:color="auto"/>
              <w:right w:val="single" w:sz="4" w:space="0" w:color="auto"/>
            </w:tcBorders>
            <w:shd w:val="clear" w:color="000000" w:fill="B8CCE4"/>
            <w:vAlign w:val="center"/>
            <w:hideMark/>
          </w:tcPr>
          <w:p w:rsidR="00EC6677" w:rsidRPr="00EC6677" w:rsidRDefault="00EC6677" w:rsidP="00EC6677">
            <w:pPr>
              <w:spacing w:after="0" w:line="240" w:lineRule="auto"/>
              <w:jc w:val="center"/>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2018/19</w:t>
            </w:r>
          </w:p>
        </w:tc>
      </w:tr>
      <w:tr w:rsidR="00EC6677" w:rsidRPr="00EC6677" w:rsidTr="00EC6677">
        <w:trPr>
          <w:trHeight w:val="2325"/>
        </w:trPr>
        <w:tc>
          <w:tcPr>
            <w:tcW w:w="880" w:type="dxa"/>
            <w:tcBorders>
              <w:top w:val="nil"/>
              <w:left w:val="single" w:sz="4" w:space="0" w:color="auto"/>
              <w:bottom w:val="nil"/>
              <w:right w:val="single" w:sz="4" w:space="0" w:color="auto"/>
            </w:tcBorders>
            <w:shd w:val="clear" w:color="000000" w:fill="B8CCE4"/>
            <w:textDirection w:val="btLr"/>
            <w:vAlign w:val="bottom"/>
            <w:hideMark/>
          </w:tcPr>
          <w:p w:rsidR="00EC6677" w:rsidRPr="00EC6677" w:rsidRDefault="00EC6677" w:rsidP="00EC6677">
            <w:pPr>
              <w:spacing w:after="0" w:line="240" w:lineRule="auto"/>
              <w:jc w:val="center"/>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Net Expenditure chargeable to the General Fund Balance</w:t>
            </w:r>
          </w:p>
        </w:tc>
        <w:tc>
          <w:tcPr>
            <w:tcW w:w="880" w:type="dxa"/>
            <w:tcBorders>
              <w:top w:val="nil"/>
              <w:left w:val="nil"/>
              <w:bottom w:val="nil"/>
              <w:right w:val="single" w:sz="4" w:space="0" w:color="auto"/>
            </w:tcBorders>
            <w:shd w:val="clear" w:color="000000" w:fill="B8CCE4"/>
            <w:textDirection w:val="btLr"/>
            <w:vAlign w:val="bottom"/>
            <w:hideMark/>
          </w:tcPr>
          <w:p w:rsidR="00EC6677" w:rsidRPr="00EC6677" w:rsidRDefault="00EC6677" w:rsidP="00EC6677">
            <w:pPr>
              <w:spacing w:after="0" w:line="240" w:lineRule="auto"/>
              <w:jc w:val="center"/>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Adjustments between the  Funding and Accounting Basis (note 8 and 10)</w:t>
            </w:r>
          </w:p>
        </w:tc>
        <w:tc>
          <w:tcPr>
            <w:tcW w:w="880" w:type="dxa"/>
            <w:tcBorders>
              <w:top w:val="nil"/>
              <w:left w:val="nil"/>
              <w:bottom w:val="nil"/>
              <w:right w:val="single" w:sz="4" w:space="0" w:color="auto"/>
            </w:tcBorders>
            <w:shd w:val="clear" w:color="000000" w:fill="B8CCE4"/>
            <w:textDirection w:val="btLr"/>
            <w:vAlign w:val="bottom"/>
            <w:hideMark/>
          </w:tcPr>
          <w:p w:rsidR="00EC6677" w:rsidRPr="00EC6677" w:rsidRDefault="00EC6677" w:rsidP="00EC6677">
            <w:pPr>
              <w:spacing w:after="0" w:line="240" w:lineRule="auto"/>
              <w:jc w:val="center"/>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Net Expenditure in the CIES</w:t>
            </w:r>
          </w:p>
        </w:tc>
        <w:tc>
          <w:tcPr>
            <w:tcW w:w="4060" w:type="dxa"/>
            <w:tcBorders>
              <w:top w:val="nil"/>
              <w:left w:val="nil"/>
              <w:bottom w:val="nil"/>
              <w:right w:val="single" w:sz="4" w:space="0" w:color="auto"/>
            </w:tcBorders>
            <w:shd w:val="clear" w:color="000000" w:fill="B8CCE4"/>
            <w:vAlign w:val="bottom"/>
            <w:hideMark/>
          </w:tcPr>
          <w:p w:rsidR="00EC6677" w:rsidRPr="00EC6677" w:rsidRDefault="00EC6677" w:rsidP="00EC6677">
            <w:pPr>
              <w:spacing w:after="0" w:line="240" w:lineRule="auto"/>
              <w:jc w:val="center"/>
              <w:rPr>
                <w:rFonts w:ascii="Arial" w:eastAsia="Times New Roman" w:hAnsi="Arial" w:cs="Arial"/>
                <w:b/>
                <w:bCs/>
                <w:sz w:val="20"/>
                <w:szCs w:val="20"/>
                <w:lang w:eastAsia="en-GB"/>
              </w:rPr>
            </w:pPr>
            <w:r w:rsidRPr="00EC6677">
              <w:rPr>
                <w:rFonts w:ascii="Arial" w:eastAsia="Times New Roman" w:hAnsi="Arial" w:cs="Arial"/>
                <w:b/>
                <w:bCs/>
                <w:sz w:val="20"/>
                <w:szCs w:val="20"/>
                <w:lang w:eastAsia="en-GB"/>
              </w:rPr>
              <w:t> </w:t>
            </w:r>
          </w:p>
        </w:tc>
        <w:tc>
          <w:tcPr>
            <w:tcW w:w="880" w:type="dxa"/>
            <w:tcBorders>
              <w:top w:val="nil"/>
              <w:left w:val="nil"/>
              <w:bottom w:val="nil"/>
              <w:right w:val="single" w:sz="4" w:space="0" w:color="auto"/>
            </w:tcBorders>
            <w:shd w:val="clear" w:color="000000" w:fill="B8CCE4"/>
            <w:textDirection w:val="btLr"/>
            <w:vAlign w:val="bottom"/>
            <w:hideMark/>
          </w:tcPr>
          <w:p w:rsidR="00EC6677" w:rsidRPr="00EC6677" w:rsidRDefault="00EC6677" w:rsidP="00EC6677">
            <w:pPr>
              <w:spacing w:after="0" w:line="240" w:lineRule="auto"/>
              <w:jc w:val="center"/>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Net Expenditure chargeable to the General Fund Balance</w:t>
            </w:r>
          </w:p>
        </w:tc>
        <w:tc>
          <w:tcPr>
            <w:tcW w:w="880" w:type="dxa"/>
            <w:tcBorders>
              <w:top w:val="nil"/>
              <w:left w:val="nil"/>
              <w:bottom w:val="nil"/>
              <w:right w:val="single" w:sz="4" w:space="0" w:color="auto"/>
            </w:tcBorders>
            <w:shd w:val="clear" w:color="000000" w:fill="B8CCE4"/>
            <w:textDirection w:val="btLr"/>
            <w:vAlign w:val="bottom"/>
            <w:hideMark/>
          </w:tcPr>
          <w:p w:rsidR="00EC6677" w:rsidRPr="00EC6677" w:rsidRDefault="00EC6677" w:rsidP="00EC6677">
            <w:pPr>
              <w:spacing w:after="0" w:line="240" w:lineRule="auto"/>
              <w:jc w:val="center"/>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Adjustments between the Funding and Accounting Basis (note 8 and 10)</w:t>
            </w:r>
          </w:p>
        </w:tc>
        <w:tc>
          <w:tcPr>
            <w:tcW w:w="880" w:type="dxa"/>
            <w:tcBorders>
              <w:top w:val="nil"/>
              <w:left w:val="nil"/>
              <w:bottom w:val="nil"/>
              <w:right w:val="single" w:sz="4" w:space="0" w:color="auto"/>
            </w:tcBorders>
            <w:shd w:val="clear" w:color="000000" w:fill="B8CCE4"/>
            <w:textDirection w:val="btLr"/>
            <w:vAlign w:val="bottom"/>
            <w:hideMark/>
          </w:tcPr>
          <w:p w:rsidR="00EC6677" w:rsidRPr="00EC6677" w:rsidRDefault="00EC6677" w:rsidP="00EC6677">
            <w:pPr>
              <w:spacing w:after="0" w:line="240" w:lineRule="auto"/>
              <w:jc w:val="center"/>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Net Expenditure in the CIES</w:t>
            </w:r>
          </w:p>
        </w:tc>
      </w:tr>
      <w:tr w:rsidR="00EC6677" w:rsidRPr="00EC6677" w:rsidTr="00EC6677">
        <w:trPr>
          <w:trHeight w:val="405"/>
        </w:trPr>
        <w:tc>
          <w:tcPr>
            <w:tcW w:w="880" w:type="dxa"/>
            <w:tcBorders>
              <w:top w:val="nil"/>
              <w:left w:val="single" w:sz="4" w:space="0" w:color="auto"/>
              <w:bottom w:val="single" w:sz="4" w:space="0" w:color="auto"/>
              <w:right w:val="single" w:sz="4" w:space="0" w:color="auto"/>
            </w:tcBorders>
            <w:shd w:val="clear" w:color="000000" w:fill="B8CCE4"/>
            <w:vAlign w:val="center"/>
            <w:hideMark/>
          </w:tcPr>
          <w:p w:rsidR="00EC6677" w:rsidRPr="00EC6677" w:rsidRDefault="00EC6677" w:rsidP="00EC6677">
            <w:pPr>
              <w:spacing w:after="0" w:line="240" w:lineRule="auto"/>
              <w:jc w:val="center"/>
              <w:rPr>
                <w:rFonts w:ascii="Arial" w:eastAsia="Times New Roman" w:hAnsi="Arial" w:cs="Arial"/>
                <w:b/>
                <w:bCs/>
                <w:sz w:val="20"/>
                <w:szCs w:val="20"/>
                <w:lang w:eastAsia="en-GB"/>
              </w:rPr>
            </w:pPr>
            <w:r w:rsidRPr="00EC6677">
              <w:rPr>
                <w:rFonts w:ascii="Arial" w:eastAsia="Times New Roman" w:hAnsi="Arial" w:cs="Arial"/>
                <w:b/>
                <w:bCs/>
                <w:sz w:val="20"/>
                <w:szCs w:val="20"/>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EC6677" w:rsidRPr="00EC6677" w:rsidRDefault="00EC6677" w:rsidP="00EC6677">
            <w:pPr>
              <w:spacing w:after="0" w:line="240" w:lineRule="auto"/>
              <w:jc w:val="center"/>
              <w:rPr>
                <w:rFonts w:ascii="Arial" w:eastAsia="Times New Roman" w:hAnsi="Arial" w:cs="Arial"/>
                <w:b/>
                <w:bCs/>
                <w:sz w:val="20"/>
                <w:szCs w:val="20"/>
                <w:lang w:eastAsia="en-GB"/>
              </w:rPr>
            </w:pPr>
            <w:r w:rsidRPr="00EC6677">
              <w:rPr>
                <w:rFonts w:ascii="Arial" w:eastAsia="Times New Roman" w:hAnsi="Arial" w:cs="Arial"/>
                <w:b/>
                <w:bCs/>
                <w:sz w:val="20"/>
                <w:szCs w:val="20"/>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EC6677" w:rsidRPr="00EC6677" w:rsidRDefault="00EC6677" w:rsidP="00EC6677">
            <w:pPr>
              <w:spacing w:after="0" w:line="240" w:lineRule="auto"/>
              <w:jc w:val="center"/>
              <w:rPr>
                <w:rFonts w:ascii="Arial" w:eastAsia="Times New Roman" w:hAnsi="Arial" w:cs="Arial"/>
                <w:b/>
                <w:bCs/>
                <w:sz w:val="20"/>
                <w:szCs w:val="20"/>
                <w:lang w:eastAsia="en-GB"/>
              </w:rPr>
            </w:pPr>
            <w:r w:rsidRPr="00EC6677">
              <w:rPr>
                <w:rFonts w:ascii="Arial" w:eastAsia="Times New Roman" w:hAnsi="Arial" w:cs="Arial"/>
                <w:b/>
                <w:bCs/>
                <w:sz w:val="20"/>
                <w:szCs w:val="20"/>
                <w:lang w:eastAsia="en-GB"/>
              </w:rPr>
              <w:t>£'000</w:t>
            </w:r>
          </w:p>
        </w:tc>
        <w:tc>
          <w:tcPr>
            <w:tcW w:w="4060" w:type="dxa"/>
            <w:tcBorders>
              <w:top w:val="nil"/>
              <w:left w:val="nil"/>
              <w:bottom w:val="single" w:sz="4" w:space="0" w:color="auto"/>
              <w:right w:val="single" w:sz="4" w:space="0" w:color="auto"/>
            </w:tcBorders>
            <w:shd w:val="clear" w:color="000000" w:fill="B8CCE4"/>
            <w:vAlign w:val="center"/>
            <w:hideMark/>
          </w:tcPr>
          <w:p w:rsidR="00EC6677" w:rsidRPr="00EC6677" w:rsidRDefault="00EC6677" w:rsidP="00EC6677">
            <w:pPr>
              <w:spacing w:after="0" w:line="240" w:lineRule="auto"/>
              <w:jc w:val="both"/>
              <w:rPr>
                <w:rFonts w:ascii="Arial" w:eastAsia="Times New Roman" w:hAnsi="Arial" w:cs="Arial"/>
                <w:b/>
                <w:bCs/>
                <w:sz w:val="20"/>
                <w:szCs w:val="20"/>
                <w:lang w:eastAsia="en-GB"/>
              </w:rPr>
            </w:pPr>
            <w:r w:rsidRPr="00EC6677">
              <w:rPr>
                <w:rFonts w:ascii="Arial" w:eastAsia="Times New Roman" w:hAnsi="Arial" w:cs="Arial"/>
                <w:b/>
                <w:bCs/>
                <w:sz w:val="20"/>
                <w:szCs w:val="20"/>
                <w:lang w:eastAsia="en-GB"/>
              </w:rPr>
              <w:t> </w:t>
            </w:r>
          </w:p>
        </w:tc>
        <w:tc>
          <w:tcPr>
            <w:tcW w:w="880" w:type="dxa"/>
            <w:tcBorders>
              <w:top w:val="nil"/>
              <w:left w:val="nil"/>
              <w:bottom w:val="single" w:sz="4" w:space="0" w:color="auto"/>
              <w:right w:val="single" w:sz="4" w:space="0" w:color="auto"/>
            </w:tcBorders>
            <w:shd w:val="clear" w:color="000000" w:fill="B8CCE4"/>
            <w:vAlign w:val="center"/>
            <w:hideMark/>
          </w:tcPr>
          <w:p w:rsidR="00EC6677" w:rsidRPr="00EC6677" w:rsidRDefault="00EC6677" w:rsidP="00EC6677">
            <w:pPr>
              <w:spacing w:after="0" w:line="240" w:lineRule="auto"/>
              <w:jc w:val="center"/>
              <w:rPr>
                <w:rFonts w:ascii="Arial" w:eastAsia="Times New Roman" w:hAnsi="Arial" w:cs="Arial"/>
                <w:b/>
                <w:bCs/>
                <w:sz w:val="20"/>
                <w:szCs w:val="20"/>
                <w:lang w:eastAsia="en-GB"/>
              </w:rPr>
            </w:pPr>
            <w:r w:rsidRPr="00EC6677">
              <w:rPr>
                <w:rFonts w:ascii="Arial" w:eastAsia="Times New Roman" w:hAnsi="Arial" w:cs="Arial"/>
                <w:b/>
                <w:bCs/>
                <w:sz w:val="20"/>
                <w:szCs w:val="20"/>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EC6677" w:rsidRPr="00EC6677" w:rsidRDefault="00EC6677" w:rsidP="00EC6677">
            <w:pPr>
              <w:spacing w:after="0" w:line="240" w:lineRule="auto"/>
              <w:jc w:val="center"/>
              <w:rPr>
                <w:rFonts w:ascii="Arial" w:eastAsia="Times New Roman" w:hAnsi="Arial" w:cs="Arial"/>
                <w:b/>
                <w:bCs/>
                <w:sz w:val="20"/>
                <w:szCs w:val="20"/>
                <w:lang w:eastAsia="en-GB"/>
              </w:rPr>
            </w:pPr>
            <w:r w:rsidRPr="00EC6677">
              <w:rPr>
                <w:rFonts w:ascii="Arial" w:eastAsia="Times New Roman" w:hAnsi="Arial" w:cs="Arial"/>
                <w:b/>
                <w:bCs/>
                <w:sz w:val="20"/>
                <w:szCs w:val="20"/>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EC6677" w:rsidRPr="00EC6677" w:rsidRDefault="00EC6677" w:rsidP="00EC6677">
            <w:pPr>
              <w:spacing w:after="0" w:line="240" w:lineRule="auto"/>
              <w:jc w:val="center"/>
              <w:rPr>
                <w:rFonts w:ascii="Arial" w:eastAsia="Times New Roman" w:hAnsi="Arial" w:cs="Arial"/>
                <w:b/>
                <w:bCs/>
                <w:sz w:val="20"/>
                <w:szCs w:val="20"/>
                <w:lang w:eastAsia="en-GB"/>
              </w:rPr>
            </w:pPr>
            <w:r w:rsidRPr="00EC6677">
              <w:rPr>
                <w:rFonts w:ascii="Arial" w:eastAsia="Times New Roman" w:hAnsi="Arial" w:cs="Arial"/>
                <w:b/>
                <w:bCs/>
                <w:sz w:val="20"/>
                <w:szCs w:val="20"/>
                <w:lang w:eastAsia="en-GB"/>
              </w:rPr>
              <w:t>£'000</w:t>
            </w:r>
          </w:p>
        </w:tc>
      </w:tr>
      <w:tr w:rsidR="00EC6677" w:rsidRPr="00EC6677" w:rsidTr="00EC6677">
        <w:trPr>
          <w:trHeight w:val="499"/>
        </w:trPr>
        <w:tc>
          <w:tcPr>
            <w:tcW w:w="880" w:type="dxa"/>
            <w:tcBorders>
              <w:top w:val="nil"/>
              <w:left w:val="single" w:sz="4" w:space="0" w:color="auto"/>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864</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28</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892</w:t>
            </w:r>
          </w:p>
        </w:tc>
        <w:tc>
          <w:tcPr>
            <w:tcW w:w="406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Chief Executive</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867</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4</w:t>
            </w:r>
          </w:p>
        </w:tc>
        <w:tc>
          <w:tcPr>
            <w:tcW w:w="880" w:type="dxa"/>
            <w:tcBorders>
              <w:top w:val="nil"/>
              <w:left w:val="nil"/>
              <w:bottom w:val="single" w:sz="4" w:space="0" w:color="BFBFBF"/>
              <w:right w:val="single" w:sz="4" w:space="0" w:color="auto"/>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871</w:t>
            </w:r>
          </w:p>
        </w:tc>
      </w:tr>
      <w:tr w:rsidR="00EC6677" w:rsidRPr="00EC6677" w:rsidTr="00EC6677">
        <w:trPr>
          <w:trHeight w:val="499"/>
        </w:trPr>
        <w:tc>
          <w:tcPr>
            <w:tcW w:w="880" w:type="dxa"/>
            <w:tcBorders>
              <w:top w:val="nil"/>
              <w:left w:val="single" w:sz="4" w:space="0" w:color="auto"/>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5,799</w:t>
            </w:r>
          </w:p>
        </w:tc>
        <w:tc>
          <w:tcPr>
            <w:tcW w:w="880" w:type="dxa"/>
            <w:tcBorders>
              <w:top w:val="nil"/>
              <w:left w:val="nil"/>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1,338</w:t>
            </w:r>
          </w:p>
        </w:tc>
        <w:tc>
          <w:tcPr>
            <w:tcW w:w="880" w:type="dxa"/>
            <w:tcBorders>
              <w:top w:val="nil"/>
              <w:left w:val="nil"/>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7,137</w:t>
            </w:r>
          </w:p>
        </w:tc>
        <w:tc>
          <w:tcPr>
            <w:tcW w:w="406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Neighbourhoods &amp; Development</w:t>
            </w:r>
          </w:p>
        </w:tc>
        <w:tc>
          <w:tcPr>
            <w:tcW w:w="880" w:type="dxa"/>
            <w:tcBorders>
              <w:top w:val="nil"/>
              <w:left w:val="nil"/>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5,668</w:t>
            </w:r>
          </w:p>
        </w:tc>
        <w:tc>
          <w:tcPr>
            <w:tcW w:w="880" w:type="dxa"/>
            <w:tcBorders>
              <w:top w:val="nil"/>
              <w:left w:val="nil"/>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1,478</w:t>
            </w:r>
          </w:p>
        </w:tc>
        <w:tc>
          <w:tcPr>
            <w:tcW w:w="880" w:type="dxa"/>
            <w:tcBorders>
              <w:top w:val="nil"/>
              <w:left w:val="nil"/>
              <w:bottom w:val="single" w:sz="4" w:space="0" w:color="BFBFBF"/>
              <w:right w:val="single" w:sz="4" w:space="0" w:color="auto"/>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7,146</w:t>
            </w:r>
          </w:p>
        </w:tc>
      </w:tr>
      <w:tr w:rsidR="00EC6677" w:rsidRPr="00EC6677" w:rsidTr="00EC6677">
        <w:trPr>
          <w:trHeight w:val="499"/>
        </w:trPr>
        <w:tc>
          <w:tcPr>
            <w:tcW w:w="880" w:type="dxa"/>
            <w:tcBorders>
              <w:top w:val="nil"/>
              <w:left w:val="single" w:sz="4" w:space="0" w:color="auto"/>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105</w:t>
            </w:r>
          </w:p>
        </w:tc>
        <w:tc>
          <w:tcPr>
            <w:tcW w:w="880" w:type="dxa"/>
            <w:tcBorders>
              <w:top w:val="nil"/>
              <w:left w:val="nil"/>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1,423</w:t>
            </w:r>
          </w:p>
        </w:tc>
        <w:tc>
          <w:tcPr>
            <w:tcW w:w="880" w:type="dxa"/>
            <w:tcBorders>
              <w:top w:val="nil"/>
              <w:left w:val="nil"/>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1,528</w:t>
            </w:r>
          </w:p>
        </w:tc>
        <w:tc>
          <w:tcPr>
            <w:tcW w:w="406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Planning &amp; Property</w:t>
            </w:r>
          </w:p>
        </w:tc>
        <w:tc>
          <w:tcPr>
            <w:tcW w:w="880" w:type="dxa"/>
            <w:tcBorders>
              <w:top w:val="nil"/>
              <w:left w:val="nil"/>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397</w:t>
            </w:r>
          </w:p>
        </w:tc>
        <w:tc>
          <w:tcPr>
            <w:tcW w:w="880" w:type="dxa"/>
            <w:tcBorders>
              <w:top w:val="nil"/>
              <w:left w:val="nil"/>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1,316</w:t>
            </w:r>
          </w:p>
        </w:tc>
        <w:tc>
          <w:tcPr>
            <w:tcW w:w="880" w:type="dxa"/>
            <w:tcBorders>
              <w:top w:val="nil"/>
              <w:left w:val="nil"/>
              <w:bottom w:val="single" w:sz="4" w:space="0" w:color="BFBFBF"/>
              <w:right w:val="single" w:sz="4" w:space="0" w:color="auto"/>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1,713</w:t>
            </w:r>
          </w:p>
        </w:tc>
      </w:tr>
      <w:tr w:rsidR="00EC6677" w:rsidRPr="00EC6677" w:rsidTr="00EC6677">
        <w:trPr>
          <w:trHeight w:val="499"/>
        </w:trPr>
        <w:tc>
          <w:tcPr>
            <w:tcW w:w="880" w:type="dxa"/>
            <w:tcBorders>
              <w:top w:val="nil"/>
              <w:left w:val="single" w:sz="4" w:space="0" w:color="auto"/>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1,518</w:t>
            </w:r>
          </w:p>
        </w:tc>
        <w:tc>
          <w:tcPr>
            <w:tcW w:w="880" w:type="dxa"/>
            <w:tcBorders>
              <w:top w:val="nil"/>
              <w:left w:val="nil"/>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(59)</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1,459</w:t>
            </w:r>
          </w:p>
        </w:tc>
        <w:tc>
          <w:tcPr>
            <w:tcW w:w="406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Finance &amp; Assurance</w:t>
            </w:r>
          </w:p>
        </w:tc>
        <w:tc>
          <w:tcPr>
            <w:tcW w:w="880" w:type="dxa"/>
            <w:tcBorders>
              <w:top w:val="nil"/>
              <w:left w:val="nil"/>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1,686</w:t>
            </w:r>
          </w:p>
        </w:tc>
        <w:tc>
          <w:tcPr>
            <w:tcW w:w="880" w:type="dxa"/>
            <w:tcBorders>
              <w:top w:val="nil"/>
              <w:left w:val="nil"/>
              <w:bottom w:val="single" w:sz="4" w:space="0" w:color="BFBFBF"/>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314</w:t>
            </w:r>
          </w:p>
        </w:tc>
        <w:tc>
          <w:tcPr>
            <w:tcW w:w="880" w:type="dxa"/>
            <w:tcBorders>
              <w:top w:val="nil"/>
              <w:left w:val="nil"/>
              <w:bottom w:val="single" w:sz="4" w:space="0" w:color="BFBFBF"/>
              <w:right w:val="single" w:sz="4" w:space="0" w:color="auto"/>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2,000</w:t>
            </w:r>
          </w:p>
        </w:tc>
      </w:tr>
      <w:tr w:rsidR="00EC6677" w:rsidRPr="00EC6677" w:rsidTr="00EC6677">
        <w:trPr>
          <w:trHeight w:val="499"/>
        </w:trPr>
        <w:tc>
          <w:tcPr>
            <w:tcW w:w="880" w:type="dxa"/>
            <w:tcBorders>
              <w:top w:val="nil"/>
              <w:left w:val="single" w:sz="4" w:space="0" w:color="auto"/>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1,345</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44</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1,389</w:t>
            </w:r>
          </w:p>
        </w:tc>
        <w:tc>
          <w:tcPr>
            <w:tcW w:w="406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Legal, HR &amp; Democratic Services</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1,348</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(2)</w:t>
            </w:r>
          </w:p>
        </w:tc>
        <w:tc>
          <w:tcPr>
            <w:tcW w:w="880" w:type="dxa"/>
            <w:tcBorders>
              <w:top w:val="nil"/>
              <w:left w:val="nil"/>
              <w:bottom w:val="single" w:sz="4" w:space="0" w:color="BFBFBF"/>
              <w:right w:val="single" w:sz="4" w:space="0" w:color="auto"/>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1,346</w:t>
            </w:r>
          </w:p>
        </w:tc>
      </w:tr>
      <w:tr w:rsidR="00EC6677" w:rsidRPr="00EC6677" w:rsidTr="00EC6677">
        <w:trPr>
          <w:trHeight w:val="499"/>
        </w:trPr>
        <w:tc>
          <w:tcPr>
            <w:tcW w:w="880" w:type="dxa"/>
            <w:tcBorders>
              <w:top w:val="nil"/>
              <w:left w:val="single" w:sz="4" w:space="0" w:color="auto"/>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1,600</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195</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1,795</w:t>
            </w:r>
          </w:p>
        </w:tc>
        <w:tc>
          <w:tcPr>
            <w:tcW w:w="406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Customer Experience &amp; Operations</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1,694</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139</w:t>
            </w:r>
          </w:p>
        </w:tc>
        <w:tc>
          <w:tcPr>
            <w:tcW w:w="880" w:type="dxa"/>
            <w:tcBorders>
              <w:top w:val="nil"/>
              <w:left w:val="nil"/>
              <w:bottom w:val="single" w:sz="4" w:space="0" w:color="BFBFBF"/>
              <w:right w:val="single" w:sz="4" w:space="0" w:color="auto"/>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1,833</w:t>
            </w:r>
          </w:p>
        </w:tc>
      </w:tr>
      <w:tr w:rsidR="00EC6677" w:rsidRPr="00EC6677" w:rsidTr="00EC6677">
        <w:trPr>
          <w:trHeight w:val="499"/>
        </w:trPr>
        <w:tc>
          <w:tcPr>
            <w:tcW w:w="880" w:type="dxa"/>
            <w:tcBorders>
              <w:top w:val="nil"/>
              <w:left w:val="single" w:sz="4" w:space="0" w:color="auto"/>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1,096</w:t>
            </w:r>
          </w:p>
        </w:tc>
        <w:tc>
          <w:tcPr>
            <w:tcW w:w="880" w:type="dxa"/>
            <w:tcBorders>
              <w:top w:val="nil"/>
              <w:left w:val="nil"/>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118</w:t>
            </w:r>
          </w:p>
        </w:tc>
        <w:tc>
          <w:tcPr>
            <w:tcW w:w="880" w:type="dxa"/>
            <w:tcBorders>
              <w:top w:val="nil"/>
              <w:left w:val="nil"/>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1,214</w:t>
            </w:r>
          </w:p>
        </w:tc>
        <w:tc>
          <w:tcPr>
            <w:tcW w:w="4060" w:type="dxa"/>
            <w:tcBorders>
              <w:top w:val="nil"/>
              <w:left w:val="nil"/>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Budgets Not in Directorates</w:t>
            </w:r>
          </w:p>
        </w:tc>
        <w:tc>
          <w:tcPr>
            <w:tcW w:w="880" w:type="dxa"/>
            <w:tcBorders>
              <w:top w:val="nil"/>
              <w:left w:val="nil"/>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554</w:t>
            </w:r>
          </w:p>
        </w:tc>
        <w:tc>
          <w:tcPr>
            <w:tcW w:w="880" w:type="dxa"/>
            <w:tcBorders>
              <w:top w:val="nil"/>
              <w:left w:val="nil"/>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(90)</w:t>
            </w:r>
          </w:p>
        </w:tc>
        <w:tc>
          <w:tcPr>
            <w:tcW w:w="880" w:type="dxa"/>
            <w:tcBorders>
              <w:top w:val="nil"/>
              <w:left w:val="nil"/>
              <w:bottom w:val="single" w:sz="4" w:space="0" w:color="auto"/>
              <w:right w:val="single" w:sz="4" w:space="0" w:color="auto"/>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464</w:t>
            </w:r>
          </w:p>
        </w:tc>
      </w:tr>
      <w:tr w:rsidR="00EC6677" w:rsidRPr="00EC6677" w:rsidTr="00EC6677">
        <w:trPr>
          <w:trHeight w:val="499"/>
        </w:trPr>
        <w:tc>
          <w:tcPr>
            <w:tcW w:w="880" w:type="dxa"/>
            <w:tcBorders>
              <w:top w:val="nil"/>
              <w:left w:val="single" w:sz="4" w:space="0" w:color="auto"/>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12,327</w:t>
            </w:r>
          </w:p>
        </w:tc>
        <w:tc>
          <w:tcPr>
            <w:tcW w:w="880" w:type="dxa"/>
            <w:tcBorders>
              <w:top w:val="nil"/>
              <w:left w:val="nil"/>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3,087</w:t>
            </w:r>
          </w:p>
        </w:tc>
        <w:tc>
          <w:tcPr>
            <w:tcW w:w="880" w:type="dxa"/>
            <w:tcBorders>
              <w:top w:val="nil"/>
              <w:left w:val="nil"/>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15,414</w:t>
            </w:r>
          </w:p>
        </w:tc>
        <w:tc>
          <w:tcPr>
            <w:tcW w:w="4060" w:type="dxa"/>
            <w:tcBorders>
              <w:top w:val="nil"/>
              <w:left w:val="nil"/>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Net cost of Service</w:t>
            </w:r>
          </w:p>
        </w:tc>
        <w:tc>
          <w:tcPr>
            <w:tcW w:w="880" w:type="dxa"/>
            <w:tcBorders>
              <w:top w:val="nil"/>
              <w:left w:val="nil"/>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12,214</w:t>
            </w:r>
          </w:p>
        </w:tc>
        <w:tc>
          <w:tcPr>
            <w:tcW w:w="880" w:type="dxa"/>
            <w:tcBorders>
              <w:top w:val="nil"/>
              <w:left w:val="nil"/>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3,159</w:t>
            </w:r>
          </w:p>
        </w:tc>
        <w:tc>
          <w:tcPr>
            <w:tcW w:w="880" w:type="dxa"/>
            <w:tcBorders>
              <w:top w:val="nil"/>
              <w:left w:val="nil"/>
              <w:bottom w:val="single" w:sz="4" w:space="0" w:color="auto"/>
              <w:right w:val="single" w:sz="4" w:space="0" w:color="auto"/>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15,373</w:t>
            </w:r>
          </w:p>
        </w:tc>
      </w:tr>
      <w:tr w:rsidR="00EC6677" w:rsidRPr="00EC6677" w:rsidTr="00EC6677">
        <w:trPr>
          <w:trHeight w:val="499"/>
        </w:trPr>
        <w:tc>
          <w:tcPr>
            <w:tcW w:w="880" w:type="dxa"/>
            <w:tcBorders>
              <w:top w:val="nil"/>
              <w:left w:val="single" w:sz="4" w:space="0" w:color="auto"/>
              <w:bottom w:val="nil"/>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(12,722)</w:t>
            </w:r>
          </w:p>
        </w:tc>
        <w:tc>
          <w:tcPr>
            <w:tcW w:w="880" w:type="dxa"/>
            <w:tcBorders>
              <w:top w:val="nil"/>
              <w:left w:val="nil"/>
              <w:bottom w:val="nil"/>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(4,013)</w:t>
            </w:r>
          </w:p>
        </w:tc>
        <w:tc>
          <w:tcPr>
            <w:tcW w:w="880" w:type="dxa"/>
            <w:tcBorders>
              <w:top w:val="nil"/>
              <w:left w:val="nil"/>
              <w:bottom w:val="nil"/>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(16,735)</w:t>
            </w:r>
          </w:p>
        </w:tc>
        <w:tc>
          <w:tcPr>
            <w:tcW w:w="4060" w:type="dxa"/>
            <w:tcBorders>
              <w:top w:val="nil"/>
              <w:left w:val="nil"/>
              <w:bottom w:val="nil"/>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 xml:space="preserve">Other Income and Expenditure </w:t>
            </w:r>
          </w:p>
        </w:tc>
        <w:tc>
          <w:tcPr>
            <w:tcW w:w="880" w:type="dxa"/>
            <w:tcBorders>
              <w:top w:val="nil"/>
              <w:left w:val="nil"/>
              <w:bottom w:val="nil"/>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(12,745)</w:t>
            </w:r>
          </w:p>
        </w:tc>
        <w:tc>
          <w:tcPr>
            <w:tcW w:w="880" w:type="dxa"/>
            <w:tcBorders>
              <w:top w:val="nil"/>
              <w:left w:val="nil"/>
              <w:bottom w:val="nil"/>
              <w:right w:val="single" w:sz="4" w:space="0" w:color="BFBFBF"/>
            </w:tcBorders>
            <w:shd w:val="clear" w:color="auto" w:fill="FFFF00"/>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(1,863)</w:t>
            </w:r>
          </w:p>
        </w:tc>
        <w:tc>
          <w:tcPr>
            <w:tcW w:w="880" w:type="dxa"/>
            <w:tcBorders>
              <w:top w:val="nil"/>
              <w:left w:val="nil"/>
              <w:bottom w:val="nil"/>
              <w:right w:val="single" w:sz="4" w:space="0" w:color="auto"/>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(14,608)</w:t>
            </w:r>
          </w:p>
        </w:tc>
      </w:tr>
      <w:tr w:rsidR="00EC6677" w:rsidRPr="00EC6677" w:rsidTr="00EC6677">
        <w:trPr>
          <w:trHeight w:val="499"/>
        </w:trPr>
        <w:tc>
          <w:tcPr>
            <w:tcW w:w="880" w:type="dxa"/>
            <w:tcBorders>
              <w:top w:val="single" w:sz="4" w:space="0" w:color="auto"/>
              <w:left w:val="single" w:sz="4" w:space="0" w:color="auto"/>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(395)</w:t>
            </w:r>
          </w:p>
        </w:tc>
        <w:tc>
          <w:tcPr>
            <w:tcW w:w="880" w:type="dxa"/>
            <w:tcBorders>
              <w:top w:val="single" w:sz="4" w:space="0" w:color="auto"/>
              <w:left w:val="nil"/>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(926)</w:t>
            </w:r>
          </w:p>
        </w:tc>
        <w:tc>
          <w:tcPr>
            <w:tcW w:w="880" w:type="dxa"/>
            <w:tcBorders>
              <w:top w:val="single" w:sz="4" w:space="0" w:color="auto"/>
              <w:left w:val="nil"/>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(1,321)</w:t>
            </w:r>
          </w:p>
        </w:tc>
        <w:tc>
          <w:tcPr>
            <w:tcW w:w="4060" w:type="dxa"/>
            <w:tcBorders>
              <w:top w:val="single" w:sz="4" w:space="0" w:color="auto"/>
              <w:left w:val="nil"/>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(Surplus) / Deficit in year</w:t>
            </w:r>
          </w:p>
        </w:tc>
        <w:tc>
          <w:tcPr>
            <w:tcW w:w="880" w:type="dxa"/>
            <w:tcBorders>
              <w:top w:val="single" w:sz="4" w:space="0" w:color="auto"/>
              <w:left w:val="nil"/>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(531)</w:t>
            </w:r>
          </w:p>
        </w:tc>
        <w:tc>
          <w:tcPr>
            <w:tcW w:w="880" w:type="dxa"/>
            <w:tcBorders>
              <w:top w:val="single" w:sz="4" w:space="0" w:color="auto"/>
              <w:left w:val="nil"/>
              <w:bottom w:val="single" w:sz="4" w:space="0" w:color="auto"/>
              <w:right w:val="single" w:sz="4" w:space="0" w:color="BFBFBF"/>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1,296</w:t>
            </w:r>
          </w:p>
        </w:tc>
        <w:tc>
          <w:tcPr>
            <w:tcW w:w="880" w:type="dxa"/>
            <w:tcBorders>
              <w:top w:val="single" w:sz="4" w:space="0" w:color="auto"/>
              <w:left w:val="nil"/>
              <w:bottom w:val="single" w:sz="4" w:space="0" w:color="auto"/>
              <w:right w:val="single" w:sz="4" w:space="0" w:color="auto"/>
            </w:tcBorders>
            <w:shd w:val="clear" w:color="000000" w:fill="F2F2F2"/>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765</w:t>
            </w:r>
          </w:p>
        </w:tc>
      </w:tr>
      <w:tr w:rsidR="00EC6677" w:rsidRPr="00EC6677" w:rsidTr="00EC6677">
        <w:trPr>
          <w:trHeight w:val="499"/>
        </w:trPr>
        <w:tc>
          <w:tcPr>
            <w:tcW w:w="880" w:type="dxa"/>
            <w:tcBorders>
              <w:top w:val="nil"/>
              <w:left w:val="single" w:sz="4" w:space="0" w:color="auto"/>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(18,593)</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 </w:t>
            </w:r>
          </w:p>
        </w:tc>
        <w:tc>
          <w:tcPr>
            <w:tcW w:w="406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Opening General Fund Balance at 1 April 2016</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(18,988)</w:t>
            </w:r>
          </w:p>
        </w:tc>
        <w:tc>
          <w:tcPr>
            <w:tcW w:w="880" w:type="dxa"/>
            <w:tcBorders>
              <w:top w:val="nil"/>
              <w:left w:val="nil"/>
              <w:bottom w:val="single" w:sz="4" w:space="0" w:color="BFBFBF"/>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auto"/>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 </w:t>
            </w:r>
          </w:p>
        </w:tc>
      </w:tr>
      <w:tr w:rsidR="00EC6677" w:rsidRPr="00EC6677" w:rsidTr="00EC6677">
        <w:trPr>
          <w:trHeight w:val="499"/>
        </w:trPr>
        <w:tc>
          <w:tcPr>
            <w:tcW w:w="880" w:type="dxa"/>
            <w:tcBorders>
              <w:top w:val="nil"/>
              <w:left w:val="single" w:sz="4" w:space="0" w:color="auto"/>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(395)</w:t>
            </w:r>
          </w:p>
        </w:tc>
        <w:tc>
          <w:tcPr>
            <w:tcW w:w="880" w:type="dxa"/>
            <w:tcBorders>
              <w:top w:val="nil"/>
              <w:left w:val="nil"/>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 </w:t>
            </w:r>
          </w:p>
        </w:tc>
        <w:tc>
          <w:tcPr>
            <w:tcW w:w="4060" w:type="dxa"/>
            <w:tcBorders>
              <w:top w:val="nil"/>
              <w:left w:val="nil"/>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Add Surplus / Less Deficit on General Fund Balance in Year</w:t>
            </w:r>
          </w:p>
        </w:tc>
        <w:tc>
          <w:tcPr>
            <w:tcW w:w="880" w:type="dxa"/>
            <w:tcBorders>
              <w:top w:val="nil"/>
              <w:left w:val="nil"/>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jc w:val="right"/>
              <w:rPr>
                <w:rFonts w:ascii="Arial" w:eastAsia="Times New Roman" w:hAnsi="Arial" w:cs="Arial"/>
                <w:sz w:val="18"/>
                <w:szCs w:val="18"/>
                <w:lang w:eastAsia="en-GB"/>
              </w:rPr>
            </w:pPr>
            <w:r w:rsidRPr="00EC6677">
              <w:rPr>
                <w:rFonts w:ascii="Arial" w:eastAsia="Times New Roman" w:hAnsi="Arial" w:cs="Arial"/>
                <w:sz w:val="18"/>
                <w:szCs w:val="18"/>
                <w:lang w:eastAsia="en-GB"/>
              </w:rPr>
              <w:t>(531)</w:t>
            </w:r>
          </w:p>
        </w:tc>
        <w:tc>
          <w:tcPr>
            <w:tcW w:w="880" w:type="dxa"/>
            <w:tcBorders>
              <w:top w:val="nil"/>
              <w:left w:val="nil"/>
              <w:bottom w:val="single" w:sz="4" w:space="0" w:color="auto"/>
              <w:right w:val="single" w:sz="4" w:space="0" w:color="BFBFBF"/>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auto"/>
            </w:tcBorders>
            <w:shd w:val="clear" w:color="auto" w:fill="auto"/>
            <w:vAlign w:val="center"/>
            <w:hideMark/>
          </w:tcPr>
          <w:p w:rsidR="00EC6677" w:rsidRPr="00EC6677" w:rsidRDefault="00EC6677" w:rsidP="00EC6677">
            <w:pPr>
              <w:spacing w:after="0" w:line="240" w:lineRule="auto"/>
              <w:rPr>
                <w:rFonts w:ascii="Arial" w:eastAsia="Times New Roman" w:hAnsi="Arial" w:cs="Arial"/>
                <w:sz w:val="18"/>
                <w:szCs w:val="18"/>
                <w:lang w:eastAsia="en-GB"/>
              </w:rPr>
            </w:pPr>
            <w:r w:rsidRPr="00EC6677">
              <w:rPr>
                <w:rFonts w:ascii="Arial" w:eastAsia="Times New Roman" w:hAnsi="Arial" w:cs="Arial"/>
                <w:sz w:val="18"/>
                <w:szCs w:val="18"/>
                <w:lang w:eastAsia="en-GB"/>
              </w:rPr>
              <w:t> </w:t>
            </w:r>
          </w:p>
        </w:tc>
      </w:tr>
      <w:tr w:rsidR="00EC6677" w:rsidRPr="00EC6677" w:rsidTr="00EC6677">
        <w:trPr>
          <w:trHeight w:val="499"/>
        </w:trPr>
        <w:tc>
          <w:tcPr>
            <w:tcW w:w="880" w:type="dxa"/>
            <w:tcBorders>
              <w:top w:val="nil"/>
              <w:left w:val="single" w:sz="4" w:space="0" w:color="auto"/>
              <w:bottom w:val="single" w:sz="4" w:space="0" w:color="auto"/>
              <w:right w:val="single" w:sz="4" w:space="0" w:color="BFBFBF"/>
            </w:tcBorders>
            <w:shd w:val="clear" w:color="000000" w:fill="D9D9D9"/>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(18,988)</w:t>
            </w:r>
          </w:p>
        </w:tc>
        <w:tc>
          <w:tcPr>
            <w:tcW w:w="880" w:type="dxa"/>
            <w:tcBorders>
              <w:top w:val="nil"/>
              <w:left w:val="nil"/>
              <w:bottom w:val="single" w:sz="4" w:space="0" w:color="auto"/>
              <w:right w:val="single" w:sz="4" w:space="0" w:color="BFBFBF"/>
            </w:tcBorders>
            <w:shd w:val="clear" w:color="000000" w:fill="D9D9D9"/>
            <w:vAlign w:val="center"/>
            <w:hideMark/>
          </w:tcPr>
          <w:p w:rsidR="00EC6677" w:rsidRPr="00EC6677" w:rsidRDefault="00EC6677" w:rsidP="00EC6677">
            <w:pPr>
              <w:spacing w:after="0" w:line="240" w:lineRule="auto"/>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 </w:t>
            </w:r>
          </w:p>
        </w:tc>
        <w:tc>
          <w:tcPr>
            <w:tcW w:w="880" w:type="dxa"/>
            <w:tcBorders>
              <w:top w:val="nil"/>
              <w:left w:val="nil"/>
              <w:bottom w:val="single" w:sz="4" w:space="0" w:color="auto"/>
              <w:right w:val="single" w:sz="4" w:space="0" w:color="BFBFBF"/>
            </w:tcBorders>
            <w:shd w:val="clear" w:color="000000" w:fill="D9D9D9"/>
            <w:vAlign w:val="center"/>
            <w:hideMark/>
          </w:tcPr>
          <w:p w:rsidR="00EC6677" w:rsidRPr="00EC6677" w:rsidRDefault="00EC6677" w:rsidP="00EC6677">
            <w:pPr>
              <w:spacing w:after="0" w:line="240" w:lineRule="auto"/>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 </w:t>
            </w:r>
          </w:p>
        </w:tc>
        <w:tc>
          <w:tcPr>
            <w:tcW w:w="4060" w:type="dxa"/>
            <w:tcBorders>
              <w:top w:val="nil"/>
              <w:left w:val="nil"/>
              <w:bottom w:val="single" w:sz="4" w:space="0" w:color="auto"/>
              <w:right w:val="single" w:sz="4" w:space="0" w:color="BFBFBF"/>
            </w:tcBorders>
            <w:shd w:val="clear" w:color="000000" w:fill="D9D9D9"/>
            <w:vAlign w:val="center"/>
            <w:hideMark/>
          </w:tcPr>
          <w:p w:rsidR="00EC6677" w:rsidRPr="00EC6677" w:rsidRDefault="00EC6677" w:rsidP="00EC6677">
            <w:pPr>
              <w:spacing w:after="0" w:line="240" w:lineRule="auto"/>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Closing General Fund Balance at 31 March 2018</w:t>
            </w:r>
          </w:p>
        </w:tc>
        <w:tc>
          <w:tcPr>
            <w:tcW w:w="880" w:type="dxa"/>
            <w:tcBorders>
              <w:top w:val="nil"/>
              <w:left w:val="nil"/>
              <w:bottom w:val="single" w:sz="4" w:space="0" w:color="auto"/>
              <w:right w:val="single" w:sz="4" w:space="0" w:color="BFBFBF"/>
            </w:tcBorders>
            <w:shd w:val="clear" w:color="000000" w:fill="D9D9D9"/>
            <w:vAlign w:val="center"/>
            <w:hideMark/>
          </w:tcPr>
          <w:p w:rsidR="00EC6677" w:rsidRPr="00EC6677" w:rsidRDefault="00EC6677" w:rsidP="00EC6677">
            <w:pPr>
              <w:spacing w:after="0" w:line="240" w:lineRule="auto"/>
              <w:jc w:val="right"/>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(19,519)</w:t>
            </w:r>
          </w:p>
        </w:tc>
        <w:tc>
          <w:tcPr>
            <w:tcW w:w="880" w:type="dxa"/>
            <w:tcBorders>
              <w:top w:val="nil"/>
              <w:left w:val="nil"/>
              <w:bottom w:val="single" w:sz="4" w:space="0" w:color="auto"/>
              <w:right w:val="single" w:sz="4" w:space="0" w:color="BFBFBF"/>
            </w:tcBorders>
            <w:shd w:val="clear" w:color="000000" w:fill="D9D9D9"/>
            <w:vAlign w:val="center"/>
            <w:hideMark/>
          </w:tcPr>
          <w:p w:rsidR="00EC6677" w:rsidRPr="00EC6677" w:rsidRDefault="00EC6677" w:rsidP="00EC6677">
            <w:pPr>
              <w:spacing w:after="0" w:line="240" w:lineRule="auto"/>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 </w:t>
            </w:r>
          </w:p>
        </w:tc>
        <w:tc>
          <w:tcPr>
            <w:tcW w:w="880" w:type="dxa"/>
            <w:tcBorders>
              <w:top w:val="nil"/>
              <w:left w:val="nil"/>
              <w:bottom w:val="single" w:sz="4" w:space="0" w:color="auto"/>
              <w:right w:val="single" w:sz="4" w:space="0" w:color="auto"/>
            </w:tcBorders>
            <w:shd w:val="clear" w:color="000000" w:fill="D9D9D9"/>
            <w:vAlign w:val="center"/>
            <w:hideMark/>
          </w:tcPr>
          <w:p w:rsidR="00EC6677" w:rsidRPr="00EC6677" w:rsidRDefault="00EC6677" w:rsidP="00EC6677">
            <w:pPr>
              <w:spacing w:after="0" w:line="240" w:lineRule="auto"/>
              <w:rPr>
                <w:rFonts w:ascii="Arial" w:eastAsia="Times New Roman" w:hAnsi="Arial" w:cs="Arial"/>
                <w:b/>
                <w:bCs/>
                <w:sz w:val="18"/>
                <w:szCs w:val="18"/>
                <w:lang w:eastAsia="en-GB"/>
              </w:rPr>
            </w:pPr>
            <w:r w:rsidRPr="00EC6677">
              <w:rPr>
                <w:rFonts w:ascii="Arial" w:eastAsia="Times New Roman" w:hAnsi="Arial" w:cs="Arial"/>
                <w:b/>
                <w:bCs/>
                <w:sz w:val="18"/>
                <w:szCs w:val="18"/>
                <w:lang w:eastAsia="en-GB"/>
              </w:rPr>
              <w:t> </w:t>
            </w:r>
          </w:p>
        </w:tc>
      </w:tr>
    </w:tbl>
    <w:p w:rsidR="00EC6677" w:rsidRDefault="00EC6677" w:rsidP="007E0EB4">
      <w:pPr>
        <w:spacing w:after="0"/>
      </w:pPr>
    </w:p>
    <w:p w:rsidR="00EC6677" w:rsidRDefault="00EC6677" w:rsidP="007E0EB4">
      <w:pPr>
        <w:spacing w:after="0"/>
      </w:pPr>
    </w:p>
    <w:p w:rsidR="00EC6677" w:rsidRDefault="00EC6677">
      <w:r>
        <w:br w:type="page"/>
      </w:r>
    </w:p>
    <w:p w:rsidR="00271B3D" w:rsidRPr="00271B3D" w:rsidRDefault="00271B3D" w:rsidP="00271B3D">
      <w:pPr>
        <w:spacing w:after="0"/>
        <w:rPr>
          <w:b/>
        </w:rPr>
      </w:pPr>
      <w:r w:rsidRPr="00271B3D">
        <w:rPr>
          <w:b/>
        </w:rPr>
        <w:lastRenderedPageBreak/>
        <w:t>COMPREHENSIVE INCOME AND EXPENDITURE STATEMENT (CIES)</w:t>
      </w:r>
    </w:p>
    <w:p w:rsidR="00271B3D" w:rsidRDefault="00271B3D" w:rsidP="00271B3D">
      <w:pPr>
        <w:spacing w:after="0"/>
      </w:pPr>
    </w:p>
    <w:tbl>
      <w:tblPr>
        <w:tblW w:w="9320" w:type="dxa"/>
        <w:tblLook w:val="04A0" w:firstRow="1" w:lastRow="0" w:firstColumn="1" w:lastColumn="0" w:noHBand="0" w:noVBand="1"/>
      </w:tblPr>
      <w:tblGrid>
        <w:gridCol w:w="880"/>
        <w:gridCol w:w="887"/>
        <w:gridCol w:w="887"/>
        <w:gridCol w:w="3440"/>
        <w:gridCol w:w="600"/>
        <w:gridCol w:w="880"/>
        <w:gridCol w:w="887"/>
        <w:gridCol w:w="887"/>
      </w:tblGrid>
      <w:tr w:rsidR="00271B3D" w:rsidRPr="00271B3D" w:rsidTr="00271B3D">
        <w:trPr>
          <w:trHeight w:val="42"/>
        </w:trPr>
        <w:tc>
          <w:tcPr>
            <w:tcW w:w="880" w:type="dxa"/>
            <w:tcBorders>
              <w:top w:val="nil"/>
              <w:left w:val="nil"/>
              <w:bottom w:val="nil"/>
              <w:right w:val="nil"/>
            </w:tcBorders>
            <w:shd w:val="clear" w:color="auto" w:fill="auto"/>
            <w:noWrap/>
            <w:vAlign w:val="bottom"/>
            <w:hideMark/>
          </w:tcPr>
          <w:p w:rsidR="00271B3D" w:rsidRPr="00271B3D" w:rsidRDefault="00271B3D" w:rsidP="00271B3D">
            <w:pPr>
              <w:spacing w:after="0" w:line="240" w:lineRule="auto"/>
              <w:rPr>
                <w:rFonts w:ascii="Times New Roman" w:eastAsia="Times New Roman" w:hAnsi="Times New Roman" w:cs="Times New Roman"/>
                <w:sz w:val="24"/>
                <w:szCs w:val="24"/>
                <w:lang w:eastAsia="en-GB"/>
              </w:rPr>
            </w:pPr>
          </w:p>
        </w:tc>
        <w:tc>
          <w:tcPr>
            <w:tcW w:w="880" w:type="dxa"/>
            <w:tcBorders>
              <w:top w:val="nil"/>
              <w:left w:val="nil"/>
              <w:bottom w:val="nil"/>
              <w:right w:val="nil"/>
            </w:tcBorders>
            <w:shd w:val="clear" w:color="auto" w:fill="auto"/>
            <w:noWrap/>
            <w:vAlign w:val="bottom"/>
            <w:hideMark/>
          </w:tcPr>
          <w:p w:rsidR="00271B3D" w:rsidRPr="00271B3D" w:rsidRDefault="00271B3D" w:rsidP="00271B3D">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271B3D" w:rsidRPr="00271B3D" w:rsidRDefault="00271B3D" w:rsidP="00271B3D">
            <w:pPr>
              <w:spacing w:after="0" w:line="240" w:lineRule="auto"/>
              <w:rPr>
                <w:rFonts w:ascii="Times New Roman" w:eastAsia="Times New Roman" w:hAnsi="Times New Roman" w:cs="Times New Roman"/>
                <w:sz w:val="20"/>
                <w:szCs w:val="20"/>
                <w:lang w:eastAsia="en-GB"/>
              </w:rPr>
            </w:pPr>
          </w:p>
        </w:tc>
        <w:tc>
          <w:tcPr>
            <w:tcW w:w="3440" w:type="dxa"/>
            <w:tcBorders>
              <w:top w:val="nil"/>
              <w:left w:val="nil"/>
              <w:bottom w:val="nil"/>
              <w:right w:val="nil"/>
            </w:tcBorders>
            <w:shd w:val="clear" w:color="auto" w:fill="auto"/>
            <w:noWrap/>
            <w:vAlign w:val="bottom"/>
            <w:hideMark/>
          </w:tcPr>
          <w:p w:rsidR="00271B3D" w:rsidRPr="00271B3D" w:rsidRDefault="00271B3D" w:rsidP="00271B3D">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rsidR="00271B3D" w:rsidRPr="00271B3D" w:rsidRDefault="00271B3D" w:rsidP="00271B3D">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271B3D" w:rsidRPr="00271B3D" w:rsidRDefault="00271B3D" w:rsidP="00271B3D">
            <w:pPr>
              <w:spacing w:after="0" w:line="240" w:lineRule="auto"/>
              <w:jc w:val="center"/>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271B3D" w:rsidRPr="00271B3D" w:rsidRDefault="00271B3D" w:rsidP="00271B3D">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271B3D" w:rsidRPr="00271B3D" w:rsidRDefault="00271B3D" w:rsidP="00271B3D">
            <w:pPr>
              <w:spacing w:after="0" w:line="240" w:lineRule="auto"/>
              <w:rPr>
                <w:rFonts w:ascii="Times New Roman" w:eastAsia="Times New Roman" w:hAnsi="Times New Roman" w:cs="Times New Roman"/>
                <w:sz w:val="20"/>
                <w:szCs w:val="20"/>
                <w:lang w:eastAsia="en-GB"/>
              </w:rPr>
            </w:pPr>
          </w:p>
        </w:tc>
      </w:tr>
      <w:tr w:rsidR="00271B3D" w:rsidRPr="00271B3D" w:rsidTr="00271B3D">
        <w:trPr>
          <w:trHeight w:val="255"/>
        </w:trPr>
        <w:tc>
          <w:tcPr>
            <w:tcW w:w="2640" w:type="dxa"/>
            <w:gridSpan w:val="3"/>
            <w:tcBorders>
              <w:top w:val="single" w:sz="4" w:space="0" w:color="auto"/>
              <w:left w:val="single" w:sz="4" w:space="0" w:color="auto"/>
              <w:bottom w:val="nil"/>
              <w:right w:val="nil"/>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2017/18</w:t>
            </w:r>
          </w:p>
        </w:tc>
        <w:tc>
          <w:tcPr>
            <w:tcW w:w="3440" w:type="dxa"/>
            <w:tcBorders>
              <w:top w:val="single" w:sz="4" w:space="0" w:color="auto"/>
              <w:left w:val="single" w:sz="4" w:space="0" w:color="auto"/>
              <w:bottom w:val="nil"/>
              <w:right w:val="single" w:sz="4" w:space="0" w:color="auto"/>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600" w:type="dxa"/>
            <w:tcBorders>
              <w:top w:val="single" w:sz="4" w:space="0" w:color="auto"/>
              <w:left w:val="nil"/>
              <w:bottom w:val="nil"/>
              <w:right w:val="nil"/>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 </w:t>
            </w:r>
          </w:p>
        </w:tc>
        <w:tc>
          <w:tcPr>
            <w:tcW w:w="2640" w:type="dxa"/>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2018/19</w:t>
            </w:r>
          </w:p>
        </w:tc>
      </w:tr>
      <w:tr w:rsidR="00271B3D" w:rsidRPr="00271B3D" w:rsidTr="00271B3D">
        <w:trPr>
          <w:trHeight w:val="2322"/>
        </w:trPr>
        <w:tc>
          <w:tcPr>
            <w:tcW w:w="880" w:type="dxa"/>
            <w:tcBorders>
              <w:top w:val="single" w:sz="4" w:space="0" w:color="auto"/>
              <w:left w:val="single" w:sz="4" w:space="0" w:color="auto"/>
              <w:bottom w:val="nil"/>
              <w:right w:val="single" w:sz="4" w:space="0" w:color="auto"/>
            </w:tcBorders>
            <w:shd w:val="clear" w:color="000000" w:fill="B8CCE4"/>
            <w:textDirection w:val="btLr"/>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Gross Expenditure</w:t>
            </w:r>
          </w:p>
        </w:tc>
        <w:tc>
          <w:tcPr>
            <w:tcW w:w="880" w:type="dxa"/>
            <w:tcBorders>
              <w:top w:val="single" w:sz="4" w:space="0" w:color="auto"/>
              <w:left w:val="nil"/>
              <w:bottom w:val="nil"/>
              <w:right w:val="single" w:sz="4" w:space="0" w:color="auto"/>
            </w:tcBorders>
            <w:shd w:val="clear" w:color="000000" w:fill="B8CCE4"/>
            <w:textDirection w:val="btLr"/>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Gross Income</w:t>
            </w:r>
          </w:p>
        </w:tc>
        <w:tc>
          <w:tcPr>
            <w:tcW w:w="880" w:type="dxa"/>
            <w:tcBorders>
              <w:top w:val="single" w:sz="4" w:space="0" w:color="auto"/>
              <w:left w:val="nil"/>
              <w:bottom w:val="nil"/>
              <w:right w:val="nil"/>
            </w:tcBorders>
            <w:shd w:val="clear" w:color="000000" w:fill="B8CCE4"/>
            <w:textDirection w:val="btLr"/>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Net Expenditure</w:t>
            </w:r>
          </w:p>
        </w:tc>
        <w:tc>
          <w:tcPr>
            <w:tcW w:w="3440" w:type="dxa"/>
            <w:tcBorders>
              <w:top w:val="nil"/>
              <w:left w:val="single" w:sz="4" w:space="0" w:color="auto"/>
              <w:bottom w:val="nil"/>
              <w:right w:val="single" w:sz="4" w:space="0" w:color="auto"/>
            </w:tcBorders>
            <w:shd w:val="clear" w:color="000000" w:fill="B8CCE4"/>
            <w:textDirection w:val="btLr"/>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600" w:type="dxa"/>
            <w:tcBorders>
              <w:top w:val="nil"/>
              <w:left w:val="nil"/>
              <w:bottom w:val="nil"/>
              <w:right w:val="nil"/>
            </w:tcBorders>
            <w:shd w:val="clear" w:color="000000" w:fill="B8CCE4"/>
            <w:textDirection w:val="btLr"/>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Note</w:t>
            </w:r>
          </w:p>
        </w:tc>
        <w:tc>
          <w:tcPr>
            <w:tcW w:w="880" w:type="dxa"/>
            <w:tcBorders>
              <w:top w:val="nil"/>
              <w:left w:val="single" w:sz="4" w:space="0" w:color="auto"/>
              <w:bottom w:val="nil"/>
              <w:right w:val="single" w:sz="4" w:space="0" w:color="auto"/>
            </w:tcBorders>
            <w:shd w:val="clear" w:color="000000" w:fill="B8CCE4"/>
            <w:textDirection w:val="btLr"/>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Gross Expenditure</w:t>
            </w:r>
          </w:p>
        </w:tc>
        <w:tc>
          <w:tcPr>
            <w:tcW w:w="880" w:type="dxa"/>
            <w:tcBorders>
              <w:top w:val="nil"/>
              <w:left w:val="nil"/>
              <w:bottom w:val="nil"/>
              <w:right w:val="single" w:sz="4" w:space="0" w:color="auto"/>
            </w:tcBorders>
            <w:shd w:val="clear" w:color="000000" w:fill="B8CCE4"/>
            <w:textDirection w:val="btLr"/>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Gross Income</w:t>
            </w:r>
          </w:p>
        </w:tc>
        <w:tc>
          <w:tcPr>
            <w:tcW w:w="880" w:type="dxa"/>
            <w:tcBorders>
              <w:top w:val="nil"/>
              <w:left w:val="nil"/>
              <w:bottom w:val="nil"/>
              <w:right w:val="single" w:sz="4" w:space="0" w:color="auto"/>
            </w:tcBorders>
            <w:shd w:val="clear" w:color="000000" w:fill="B8CCE4"/>
            <w:textDirection w:val="btLr"/>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Net Expenditure</w:t>
            </w:r>
          </w:p>
        </w:tc>
      </w:tr>
      <w:tr w:rsidR="00271B3D" w:rsidRPr="00271B3D" w:rsidTr="00271B3D">
        <w:trPr>
          <w:trHeight w:val="255"/>
        </w:trPr>
        <w:tc>
          <w:tcPr>
            <w:tcW w:w="880" w:type="dxa"/>
            <w:tcBorders>
              <w:top w:val="nil"/>
              <w:left w:val="single" w:sz="4" w:space="0" w:color="auto"/>
              <w:bottom w:val="single" w:sz="4" w:space="0" w:color="auto"/>
              <w:right w:val="single" w:sz="4" w:space="0" w:color="auto"/>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£’000</w:t>
            </w:r>
          </w:p>
        </w:tc>
        <w:tc>
          <w:tcPr>
            <w:tcW w:w="880" w:type="dxa"/>
            <w:tcBorders>
              <w:top w:val="nil"/>
              <w:left w:val="nil"/>
              <w:bottom w:val="single" w:sz="4" w:space="0" w:color="auto"/>
              <w:right w:val="nil"/>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£’000</w:t>
            </w:r>
          </w:p>
        </w:tc>
        <w:tc>
          <w:tcPr>
            <w:tcW w:w="3440" w:type="dxa"/>
            <w:tcBorders>
              <w:top w:val="nil"/>
              <w:left w:val="single" w:sz="4" w:space="0" w:color="auto"/>
              <w:bottom w:val="single" w:sz="4" w:space="0" w:color="auto"/>
              <w:right w:val="single" w:sz="4" w:space="0" w:color="auto"/>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600" w:type="dxa"/>
            <w:tcBorders>
              <w:top w:val="nil"/>
              <w:left w:val="nil"/>
              <w:bottom w:val="single" w:sz="4" w:space="0" w:color="auto"/>
              <w:right w:val="nil"/>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 </w:t>
            </w:r>
          </w:p>
        </w:tc>
        <w:tc>
          <w:tcPr>
            <w:tcW w:w="880" w:type="dxa"/>
            <w:tcBorders>
              <w:top w:val="nil"/>
              <w:left w:val="single" w:sz="4" w:space="0" w:color="auto"/>
              <w:bottom w:val="single" w:sz="4" w:space="0" w:color="auto"/>
              <w:right w:val="single" w:sz="4" w:space="0" w:color="auto"/>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£’000</w:t>
            </w:r>
          </w:p>
        </w:tc>
      </w:tr>
      <w:tr w:rsidR="00271B3D" w:rsidRPr="00271B3D" w:rsidTr="00271B3D">
        <w:trPr>
          <w:trHeight w:val="600"/>
        </w:trPr>
        <w:tc>
          <w:tcPr>
            <w:tcW w:w="880" w:type="dxa"/>
            <w:tcBorders>
              <w:top w:val="nil"/>
              <w:left w:val="single" w:sz="4" w:space="0" w:color="auto"/>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1,007</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(115)</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892</w:t>
            </w:r>
          </w:p>
        </w:tc>
        <w:tc>
          <w:tcPr>
            <w:tcW w:w="344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Chief Executive</w:t>
            </w:r>
          </w:p>
        </w:tc>
        <w:tc>
          <w:tcPr>
            <w:tcW w:w="60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873</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w:t>
            </w:r>
          </w:p>
        </w:tc>
        <w:tc>
          <w:tcPr>
            <w:tcW w:w="880" w:type="dxa"/>
            <w:tcBorders>
              <w:top w:val="nil"/>
              <w:left w:val="nil"/>
              <w:bottom w:val="single" w:sz="4" w:space="0" w:color="BFBFBF"/>
              <w:right w:val="single" w:sz="4" w:space="0" w:color="auto"/>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871</w:t>
            </w:r>
          </w:p>
        </w:tc>
      </w:tr>
      <w:tr w:rsidR="00271B3D" w:rsidRPr="00271B3D" w:rsidTr="00271B3D">
        <w:trPr>
          <w:trHeight w:val="600"/>
        </w:trPr>
        <w:tc>
          <w:tcPr>
            <w:tcW w:w="880" w:type="dxa"/>
            <w:tcBorders>
              <w:top w:val="nil"/>
              <w:left w:val="single" w:sz="4" w:space="0" w:color="auto"/>
              <w:bottom w:val="single" w:sz="4" w:space="0" w:color="BFBFBF"/>
              <w:right w:val="single" w:sz="4" w:space="0" w:color="BFBFBF"/>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9,973</w:t>
            </w:r>
          </w:p>
        </w:tc>
        <w:tc>
          <w:tcPr>
            <w:tcW w:w="880" w:type="dxa"/>
            <w:tcBorders>
              <w:top w:val="nil"/>
              <w:left w:val="nil"/>
              <w:bottom w:val="single" w:sz="4" w:space="0" w:color="BFBFBF"/>
              <w:right w:val="single" w:sz="4" w:space="0" w:color="BFBFBF"/>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(2,836)</w:t>
            </w:r>
          </w:p>
        </w:tc>
        <w:tc>
          <w:tcPr>
            <w:tcW w:w="880" w:type="dxa"/>
            <w:tcBorders>
              <w:top w:val="nil"/>
              <w:left w:val="nil"/>
              <w:bottom w:val="single" w:sz="4" w:space="0" w:color="BFBFBF"/>
              <w:right w:val="single" w:sz="4" w:space="0" w:color="BFBFBF"/>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7,137</w:t>
            </w:r>
          </w:p>
        </w:tc>
        <w:tc>
          <w:tcPr>
            <w:tcW w:w="344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Neighbourhoods &amp; Development</w:t>
            </w:r>
          </w:p>
        </w:tc>
        <w:tc>
          <w:tcPr>
            <w:tcW w:w="60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BFBFBF"/>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9,791</w:t>
            </w:r>
          </w:p>
        </w:tc>
        <w:tc>
          <w:tcPr>
            <w:tcW w:w="880" w:type="dxa"/>
            <w:tcBorders>
              <w:top w:val="nil"/>
              <w:left w:val="nil"/>
              <w:bottom w:val="single" w:sz="4" w:space="0" w:color="BFBFBF"/>
              <w:right w:val="single" w:sz="4" w:space="0" w:color="BFBFBF"/>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(2,645)</w:t>
            </w:r>
          </w:p>
        </w:tc>
        <w:tc>
          <w:tcPr>
            <w:tcW w:w="880" w:type="dxa"/>
            <w:tcBorders>
              <w:top w:val="nil"/>
              <w:left w:val="nil"/>
              <w:bottom w:val="single" w:sz="4" w:space="0" w:color="BFBFBF"/>
              <w:right w:val="single" w:sz="4" w:space="0" w:color="auto"/>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7,146</w:t>
            </w:r>
          </w:p>
        </w:tc>
      </w:tr>
      <w:tr w:rsidR="00271B3D" w:rsidRPr="00271B3D" w:rsidTr="00271B3D">
        <w:trPr>
          <w:trHeight w:val="600"/>
        </w:trPr>
        <w:tc>
          <w:tcPr>
            <w:tcW w:w="880" w:type="dxa"/>
            <w:tcBorders>
              <w:top w:val="nil"/>
              <w:left w:val="single" w:sz="4" w:space="0" w:color="auto"/>
              <w:bottom w:val="single" w:sz="4" w:space="0" w:color="BFBFBF"/>
              <w:right w:val="single" w:sz="4" w:space="0" w:color="BFBFBF"/>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3,951</w:t>
            </w:r>
          </w:p>
        </w:tc>
        <w:tc>
          <w:tcPr>
            <w:tcW w:w="880" w:type="dxa"/>
            <w:tcBorders>
              <w:top w:val="nil"/>
              <w:left w:val="nil"/>
              <w:bottom w:val="single" w:sz="4" w:space="0" w:color="BFBFBF"/>
              <w:right w:val="single" w:sz="4" w:space="0" w:color="BFBFBF"/>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(2,423)</w:t>
            </w:r>
          </w:p>
        </w:tc>
        <w:tc>
          <w:tcPr>
            <w:tcW w:w="880" w:type="dxa"/>
            <w:tcBorders>
              <w:top w:val="nil"/>
              <w:left w:val="nil"/>
              <w:bottom w:val="single" w:sz="4" w:space="0" w:color="BFBFBF"/>
              <w:right w:val="single" w:sz="4" w:space="0" w:color="BFBFBF"/>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1,528</w:t>
            </w:r>
          </w:p>
        </w:tc>
        <w:tc>
          <w:tcPr>
            <w:tcW w:w="344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Planning &amp; Property</w:t>
            </w:r>
          </w:p>
        </w:tc>
        <w:tc>
          <w:tcPr>
            <w:tcW w:w="60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BFBFBF"/>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3,765</w:t>
            </w:r>
          </w:p>
        </w:tc>
        <w:tc>
          <w:tcPr>
            <w:tcW w:w="880" w:type="dxa"/>
            <w:tcBorders>
              <w:top w:val="nil"/>
              <w:left w:val="nil"/>
              <w:bottom w:val="single" w:sz="4" w:space="0" w:color="BFBFBF"/>
              <w:right w:val="single" w:sz="4" w:space="0" w:color="BFBFBF"/>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(2,052)</w:t>
            </w:r>
          </w:p>
        </w:tc>
        <w:tc>
          <w:tcPr>
            <w:tcW w:w="880" w:type="dxa"/>
            <w:tcBorders>
              <w:top w:val="nil"/>
              <w:left w:val="nil"/>
              <w:bottom w:val="single" w:sz="4" w:space="0" w:color="BFBFBF"/>
              <w:right w:val="single" w:sz="4" w:space="0" w:color="auto"/>
            </w:tcBorders>
            <w:shd w:val="clear" w:color="auto" w:fill="FFFF00"/>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1,713</w:t>
            </w:r>
          </w:p>
        </w:tc>
      </w:tr>
      <w:tr w:rsidR="00271B3D" w:rsidRPr="00271B3D" w:rsidTr="00271B3D">
        <w:trPr>
          <w:trHeight w:val="600"/>
        </w:trPr>
        <w:tc>
          <w:tcPr>
            <w:tcW w:w="880" w:type="dxa"/>
            <w:tcBorders>
              <w:top w:val="nil"/>
              <w:left w:val="single" w:sz="4" w:space="0" w:color="auto"/>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1,657</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(198)</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1,459</w:t>
            </w:r>
          </w:p>
        </w:tc>
        <w:tc>
          <w:tcPr>
            <w:tcW w:w="344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Finance &amp; Assurance</w:t>
            </w:r>
          </w:p>
        </w:tc>
        <w:tc>
          <w:tcPr>
            <w:tcW w:w="60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2,277</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(277)</w:t>
            </w:r>
          </w:p>
        </w:tc>
        <w:tc>
          <w:tcPr>
            <w:tcW w:w="880" w:type="dxa"/>
            <w:tcBorders>
              <w:top w:val="nil"/>
              <w:left w:val="nil"/>
              <w:bottom w:val="single" w:sz="4" w:space="0" w:color="BFBFBF"/>
              <w:right w:val="single" w:sz="4" w:space="0" w:color="auto"/>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2,000</w:t>
            </w:r>
          </w:p>
        </w:tc>
      </w:tr>
      <w:tr w:rsidR="00271B3D" w:rsidRPr="00271B3D" w:rsidTr="00271B3D">
        <w:trPr>
          <w:trHeight w:val="600"/>
        </w:trPr>
        <w:tc>
          <w:tcPr>
            <w:tcW w:w="880" w:type="dxa"/>
            <w:tcBorders>
              <w:top w:val="nil"/>
              <w:left w:val="single" w:sz="4" w:space="0" w:color="auto"/>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1,716</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(327)</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1,389</w:t>
            </w:r>
          </w:p>
        </w:tc>
        <w:tc>
          <w:tcPr>
            <w:tcW w:w="344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Legal, HR &amp; Democratic Services</w:t>
            </w:r>
          </w:p>
        </w:tc>
        <w:tc>
          <w:tcPr>
            <w:tcW w:w="60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1,639</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(293)</w:t>
            </w:r>
          </w:p>
        </w:tc>
        <w:tc>
          <w:tcPr>
            <w:tcW w:w="880" w:type="dxa"/>
            <w:tcBorders>
              <w:top w:val="nil"/>
              <w:left w:val="nil"/>
              <w:bottom w:val="single" w:sz="4" w:space="0" w:color="BFBFBF"/>
              <w:right w:val="single" w:sz="4" w:space="0" w:color="auto"/>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1,346</w:t>
            </w:r>
          </w:p>
        </w:tc>
      </w:tr>
      <w:tr w:rsidR="00271B3D" w:rsidRPr="00271B3D" w:rsidTr="00271B3D">
        <w:trPr>
          <w:trHeight w:val="600"/>
        </w:trPr>
        <w:tc>
          <w:tcPr>
            <w:tcW w:w="880" w:type="dxa"/>
            <w:tcBorders>
              <w:top w:val="nil"/>
              <w:left w:val="single" w:sz="4" w:space="0" w:color="auto"/>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23,478</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(21,683)</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1,795</w:t>
            </w:r>
          </w:p>
        </w:tc>
        <w:tc>
          <w:tcPr>
            <w:tcW w:w="344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Customer Experience &amp; Operations</w:t>
            </w:r>
          </w:p>
        </w:tc>
        <w:tc>
          <w:tcPr>
            <w:tcW w:w="60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22,247</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(20,414)</w:t>
            </w:r>
          </w:p>
        </w:tc>
        <w:tc>
          <w:tcPr>
            <w:tcW w:w="880" w:type="dxa"/>
            <w:tcBorders>
              <w:top w:val="nil"/>
              <w:left w:val="nil"/>
              <w:bottom w:val="single" w:sz="4" w:space="0" w:color="BFBFBF"/>
              <w:right w:val="single" w:sz="4" w:space="0" w:color="auto"/>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1,833</w:t>
            </w:r>
          </w:p>
        </w:tc>
      </w:tr>
      <w:tr w:rsidR="00271B3D" w:rsidRPr="00271B3D" w:rsidTr="00271B3D">
        <w:trPr>
          <w:trHeight w:val="600"/>
        </w:trPr>
        <w:tc>
          <w:tcPr>
            <w:tcW w:w="880" w:type="dxa"/>
            <w:tcBorders>
              <w:top w:val="nil"/>
              <w:left w:val="single" w:sz="4" w:space="0" w:color="auto"/>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1,214</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0</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1,214</w:t>
            </w:r>
          </w:p>
        </w:tc>
        <w:tc>
          <w:tcPr>
            <w:tcW w:w="344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Budgets Not in Directorates</w:t>
            </w:r>
          </w:p>
        </w:tc>
        <w:tc>
          <w:tcPr>
            <w:tcW w:w="60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464</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0</w:t>
            </w:r>
          </w:p>
        </w:tc>
        <w:tc>
          <w:tcPr>
            <w:tcW w:w="880" w:type="dxa"/>
            <w:tcBorders>
              <w:top w:val="nil"/>
              <w:left w:val="nil"/>
              <w:bottom w:val="single" w:sz="4" w:space="0" w:color="auto"/>
              <w:right w:val="single" w:sz="4" w:space="0" w:color="auto"/>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464</w:t>
            </w:r>
          </w:p>
        </w:tc>
      </w:tr>
      <w:tr w:rsidR="00271B3D" w:rsidRPr="00271B3D" w:rsidTr="00271B3D">
        <w:trPr>
          <w:trHeight w:val="600"/>
        </w:trPr>
        <w:tc>
          <w:tcPr>
            <w:tcW w:w="880" w:type="dxa"/>
            <w:tcBorders>
              <w:top w:val="nil"/>
              <w:left w:val="single" w:sz="4" w:space="0" w:color="auto"/>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42,996</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(27,582)</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15,414</w:t>
            </w:r>
          </w:p>
        </w:tc>
        <w:tc>
          <w:tcPr>
            <w:tcW w:w="344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both"/>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Cost of Services</w:t>
            </w:r>
          </w:p>
        </w:tc>
        <w:tc>
          <w:tcPr>
            <w:tcW w:w="60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 </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41,056</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(25,683)</w:t>
            </w:r>
          </w:p>
        </w:tc>
        <w:tc>
          <w:tcPr>
            <w:tcW w:w="880" w:type="dxa"/>
            <w:tcBorders>
              <w:top w:val="nil"/>
              <w:left w:val="nil"/>
              <w:bottom w:val="single" w:sz="4" w:space="0" w:color="auto"/>
              <w:right w:val="single" w:sz="4" w:space="0" w:color="auto"/>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15,373</w:t>
            </w:r>
          </w:p>
        </w:tc>
      </w:tr>
      <w:tr w:rsidR="00271B3D" w:rsidRPr="00271B3D" w:rsidTr="00271B3D">
        <w:trPr>
          <w:trHeight w:val="600"/>
        </w:trPr>
        <w:tc>
          <w:tcPr>
            <w:tcW w:w="880" w:type="dxa"/>
            <w:tcBorders>
              <w:top w:val="nil"/>
              <w:left w:val="single" w:sz="4" w:space="0" w:color="auto"/>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398</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0</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398</w:t>
            </w:r>
          </w:p>
        </w:tc>
        <w:tc>
          <w:tcPr>
            <w:tcW w:w="344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Other operating expenditure</w:t>
            </w:r>
          </w:p>
        </w:tc>
        <w:tc>
          <w:tcPr>
            <w:tcW w:w="60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12</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369</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0</w:t>
            </w:r>
          </w:p>
        </w:tc>
        <w:tc>
          <w:tcPr>
            <w:tcW w:w="880" w:type="dxa"/>
            <w:tcBorders>
              <w:top w:val="nil"/>
              <w:left w:val="nil"/>
              <w:bottom w:val="single" w:sz="4" w:space="0" w:color="BFBFBF"/>
              <w:right w:val="single" w:sz="4" w:space="0" w:color="auto"/>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369</w:t>
            </w:r>
          </w:p>
        </w:tc>
      </w:tr>
      <w:tr w:rsidR="00271B3D" w:rsidRPr="00271B3D" w:rsidTr="00271B3D">
        <w:trPr>
          <w:trHeight w:val="600"/>
        </w:trPr>
        <w:tc>
          <w:tcPr>
            <w:tcW w:w="880" w:type="dxa"/>
            <w:tcBorders>
              <w:top w:val="nil"/>
              <w:left w:val="single" w:sz="4" w:space="0" w:color="auto"/>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3,484</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(3,518)</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(34)</w:t>
            </w:r>
          </w:p>
        </w:tc>
        <w:tc>
          <w:tcPr>
            <w:tcW w:w="344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Financing and investment income and expenditure</w:t>
            </w:r>
          </w:p>
        </w:tc>
        <w:tc>
          <w:tcPr>
            <w:tcW w:w="60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13</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4,349</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(3,512)</w:t>
            </w:r>
          </w:p>
        </w:tc>
        <w:tc>
          <w:tcPr>
            <w:tcW w:w="880" w:type="dxa"/>
            <w:tcBorders>
              <w:top w:val="nil"/>
              <w:left w:val="nil"/>
              <w:bottom w:val="single" w:sz="4" w:space="0" w:color="BFBFBF"/>
              <w:right w:val="single" w:sz="4" w:space="0" w:color="auto"/>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837</w:t>
            </w:r>
          </w:p>
        </w:tc>
      </w:tr>
      <w:tr w:rsidR="00271B3D" w:rsidRPr="00271B3D" w:rsidTr="00271B3D">
        <w:trPr>
          <w:trHeight w:val="600"/>
        </w:trPr>
        <w:tc>
          <w:tcPr>
            <w:tcW w:w="880" w:type="dxa"/>
            <w:tcBorders>
              <w:top w:val="nil"/>
              <w:left w:val="single" w:sz="4" w:space="0" w:color="auto"/>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9,768</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(26,867)</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(17,099)</w:t>
            </w:r>
          </w:p>
        </w:tc>
        <w:tc>
          <w:tcPr>
            <w:tcW w:w="344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Taxation and non-specific grant income</w:t>
            </w:r>
          </w:p>
        </w:tc>
        <w:tc>
          <w:tcPr>
            <w:tcW w:w="60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14</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10,055</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(25,869)</w:t>
            </w:r>
          </w:p>
        </w:tc>
        <w:tc>
          <w:tcPr>
            <w:tcW w:w="880" w:type="dxa"/>
            <w:tcBorders>
              <w:top w:val="nil"/>
              <w:left w:val="nil"/>
              <w:bottom w:val="single" w:sz="4" w:space="0" w:color="auto"/>
              <w:right w:val="single" w:sz="4" w:space="0" w:color="auto"/>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(15,814)</w:t>
            </w:r>
          </w:p>
        </w:tc>
      </w:tr>
      <w:tr w:rsidR="00271B3D" w:rsidRPr="00271B3D" w:rsidTr="00271B3D">
        <w:trPr>
          <w:trHeight w:val="600"/>
        </w:trPr>
        <w:tc>
          <w:tcPr>
            <w:tcW w:w="880" w:type="dxa"/>
            <w:tcBorders>
              <w:top w:val="nil"/>
              <w:left w:val="single" w:sz="4" w:space="0" w:color="auto"/>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56,646</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(57,967)</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(1,321)</w:t>
            </w:r>
          </w:p>
        </w:tc>
        <w:tc>
          <w:tcPr>
            <w:tcW w:w="344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both"/>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(Surplus) / deficit on provision of services</w:t>
            </w:r>
          </w:p>
        </w:tc>
        <w:tc>
          <w:tcPr>
            <w:tcW w:w="60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 </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55,829</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(55,064)</w:t>
            </w:r>
          </w:p>
        </w:tc>
        <w:tc>
          <w:tcPr>
            <w:tcW w:w="880" w:type="dxa"/>
            <w:tcBorders>
              <w:top w:val="nil"/>
              <w:left w:val="nil"/>
              <w:bottom w:val="single" w:sz="4" w:space="0" w:color="auto"/>
              <w:right w:val="single" w:sz="4" w:space="0" w:color="auto"/>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765</w:t>
            </w:r>
          </w:p>
        </w:tc>
      </w:tr>
      <w:tr w:rsidR="00271B3D" w:rsidRPr="00271B3D" w:rsidTr="00271B3D">
        <w:trPr>
          <w:trHeight w:val="600"/>
        </w:trPr>
        <w:tc>
          <w:tcPr>
            <w:tcW w:w="880" w:type="dxa"/>
            <w:tcBorders>
              <w:top w:val="nil"/>
              <w:left w:val="single" w:sz="4" w:space="0" w:color="auto"/>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(128)</w:t>
            </w:r>
          </w:p>
        </w:tc>
        <w:tc>
          <w:tcPr>
            <w:tcW w:w="344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(Surplus) / deficit on revaluation of Property, Plant and Equipment assets</w:t>
            </w:r>
          </w:p>
        </w:tc>
        <w:tc>
          <w:tcPr>
            <w:tcW w:w="60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BFBFBF"/>
              <w:right w:val="single" w:sz="4" w:space="0" w:color="auto"/>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(607)</w:t>
            </w:r>
          </w:p>
        </w:tc>
      </w:tr>
      <w:tr w:rsidR="00271B3D" w:rsidRPr="00271B3D" w:rsidTr="00271B3D">
        <w:trPr>
          <w:trHeight w:val="600"/>
        </w:trPr>
        <w:tc>
          <w:tcPr>
            <w:tcW w:w="880" w:type="dxa"/>
            <w:tcBorders>
              <w:top w:val="nil"/>
              <w:left w:val="single" w:sz="4" w:space="0" w:color="auto"/>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(5,077)</w:t>
            </w:r>
          </w:p>
        </w:tc>
        <w:tc>
          <w:tcPr>
            <w:tcW w:w="344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both"/>
              <w:rPr>
                <w:rFonts w:ascii="Arial" w:eastAsia="Times New Roman" w:hAnsi="Arial" w:cs="Arial"/>
                <w:sz w:val="18"/>
                <w:szCs w:val="18"/>
                <w:lang w:eastAsia="en-GB"/>
              </w:rPr>
            </w:pPr>
            <w:r w:rsidRPr="00271B3D">
              <w:rPr>
                <w:rFonts w:ascii="Arial" w:eastAsia="Times New Roman" w:hAnsi="Arial" w:cs="Arial"/>
                <w:sz w:val="18"/>
                <w:szCs w:val="18"/>
                <w:lang w:eastAsia="en-GB"/>
              </w:rPr>
              <w:t>Re-measurement of  the net defined benefit liability</w:t>
            </w:r>
          </w:p>
        </w:tc>
        <w:tc>
          <w:tcPr>
            <w:tcW w:w="60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37d</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BFBFBF"/>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auto"/>
            </w:tcBorders>
            <w:shd w:val="clear" w:color="auto" w:fill="auto"/>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(1,318)</w:t>
            </w:r>
          </w:p>
        </w:tc>
      </w:tr>
      <w:tr w:rsidR="00271B3D" w:rsidRPr="00271B3D" w:rsidTr="00271B3D">
        <w:trPr>
          <w:trHeight w:val="600"/>
        </w:trPr>
        <w:tc>
          <w:tcPr>
            <w:tcW w:w="880" w:type="dxa"/>
            <w:tcBorders>
              <w:top w:val="nil"/>
              <w:left w:val="single" w:sz="4" w:space="0" w:color="auto"/>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 </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 </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(5,205)</w:t>
            </w:r>
          </w:p>
        </w:tc>
        <w:tc>
          <w:tcPr>
            <w:tcW w:w="344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both"/>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Other Comprehensive (Income) and Expenditure</w:t>
            </w:r>
          </w:p>
        </w:tc>
        <w:tc>
          <w:tcPr>
            <w:tcW w:w="60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center"/>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 </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 </w:t>
            </w:r>
          </w:p>
        </w:tc>
        <w:tc>
          <w:tcPr>
            <w:tcW w:w="880" w:type="dxa"/>
            <w:tcBorders>
              <w:top w:val="nil"/>
              <w:left w:val="nil"/>
              <w:bottom w:val="single" w:sz="4" w:space="0" w:color="auto"/>
              <w:right w:val="single" w:sz="4" w:space="0" w:color="BFBFBF"/>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 </w:t>
            </w:r>
          </w:p>
        </w:tc>
        <w:tc>
          <w:tcPr>
            <w:tcW w:w="880" w:type="dxa"/>
            <w:tcBorders>
              <w:top w:val="nil"/>
              <w:left w:val="nil"/>
              <w:bottom w:val="single" w:sz="4" w:space="0" w:color="auto"/>
              <w:right w:val="single" w:sz="4" w:space="0" w:color="auto"/>
            </w:tcBorders>
            <w:shd w:val="clear" w:color="000000" w:fill="F2F2F2"/>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(1,925)</w:t>
            </w:r>
          </w:p>
        </w:tc>
      </w:tr>
      <w:tr w:rsidR="00271B3D" w:rsidRPr="00271B3D" w:rsidTr="00271B3D">
        <w:trPr>
          <w:trHeight w:val="600"/>
        </w:trPr>
        <w:tc>
          <w:tcPr>
            <w:tcW w:w="880" w:type="dxa"/>
            <w:tcBorders>
              <w:top w:val="nil"/>
              <w:left w:val="single" w:sz="4" w:space="0" w:color="auto"/>
              <w:bottom w:val="single" w:sz="4" w:space="0" w:color="auto"/>
              <w:right w:val="single" w:sz="4" w:space="0" w:color="BFBFBF"/>
            </w:tcBorders>
            <w:shd w:val="clear" w:color="000000" w:fill="D9D9D9"/>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BFBFBF"/>
            </w:tcBorders>
            <w:shd w:val="clear" w:color="000000" w:fill="D9D9D9"/>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BFBFBF"/>
            </w:tcBorders>
            <w:shd w:val="clear" w:color="000000" w:fill="D9D9D9"/>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(6,526)</w:t>
            </w:r>
          </w:p>
        </w:tc>
        <w:tc>
          <w:tcPr>
            <w:tcW w:w="3440" w:type="dxa"/>
            <w:tcBorders>
              <w:top w:val="nil"/>
              <w:left w:val="nil"/>
              <w:bottom w:val="single" w:sz="4" w:space="0" w:color="auto"/>
              <w:right w:val="single" w:sz="4" w:space="0" w:color="BFBFBF"/>
            </w:tcBorders>
            <w:shd w:val="clear" w:color="000000" w:fill="D9D9D9"/>
            <w:vAlign w:val="center"/>
            <w:hideMark/>
          </w:tcPr>
          <w:p w:rsidR="00271B3D" w:rsidRPr="00271B3D" w:rsidRDefault="00271B3D" w:rsidP="00271B3D">
            <w:pPr>
              <w:spacing w:after="0" w:line="240" w:lineRule="auto"/>
              <w:jc w:val="both"/>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Total Comprehensive (Income) and Expenditure</w:t>
            </w:r>
          </w:p>
        </w:tc>
        <w:tc>
          <w:tcPr>
            <w:tcW w:w="600" w:type="dxa"/>
            <w:tcBorders>
              <w:top w:val="nil"/>
              <w:left w:val="nil"/>
              <w:bottom w:val="single" w:sz="4" w:space="0" w:color="auto"/>
              <w:right w:val="single" w:sz="4" w:space="0" w:color="BFBFBF"/>
            </w:tcBorders>
            <w:shd w:val="clear" w:color="000000" w:fill="D9D9D9"/>
            <w:vAlign w:val="center"/>
            <w:hideMark/>
          </w:tcPr>
          <w:p w:rsidR="00271B3D" w:rsidRPr="00271B3D" w:rsidRDefault="00271B3D" w:rsidP="00271B3D">
            <w:pPr>
              <w:spacing w:after="0" w:line="240" w:lineRule="auto"/>
              <w:jc w:val="center"/>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BFBFBF"/>
            </w:tcBorders>
            <w:shd w:val="clear" w:color="000000" w:fill="D9D9D9"/>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BFBFBF"/>
            </w:tcBorders>
            <w:shd w:val="clear" w:color="000000" w:fill="D9D9D9"/>
            <w:vAlign w:val="center"/>
            <w:hideMark/>
          </w:tcPr>
          <w:p w:rsidR="00271B3D" w:rsidRPr="00271B3D" w:rsidRDefault="00271B3D" w:rsidP="00271B3D">
            <w:pPr>
              <w:spacing w:after="0" w:line="240" w:lineRule="auto"/>
              <w:jc w:val="right"/>
              <w:rPr>
                <w:rFonts w:ascii="Arial" w:eastAsia="Times New Roman" w:hAnsi="Arial" w:cs="Arial"/>
                <w:sz w:val="18"/>
                <w:szCs w:val="18"/>
                <w:lang w:eastAsia="en-GB"/>
              </w:rPr>
            </w:pPr>
            <w:r w:rsidRPr="00271B3D">
              <w:rPr>
                <w:rFonts w:ascii="Arial" w:eastAsia="Times New Roman" w:hAnsi="Arial" w:cs="Arial"/>
                <w:sz w:val="18"/>
                <w:szCs w:val="18"/>
                <w:lang w:eastAsia="en-GB"/>
              </w:rPr>
              <w:t> </w:t>
            </w:r>
          </w:p>
        </w:tc>
        <w:tc>
          <w:tcPr>
            <w:tcW w:w="880" w:type="dxa"/>
            <w:tcBorders>
              <w:top w:val="nil"/>
              <w:left w:val="nil"/>
              <w:bottom w:val="single" w:sz="4" w:space="0" w:color="auto"/>
              <w:right w:val="single" w:sz="4" w:space="0" w:color="auto"/>
            </w:tcBorders>
            <w:shd w:val="clear" w:color="000000" w:fill="D9D9D9"/>
            <w:vAlign w:val="center"/>
            <w:hideMark/>
          </w:tcPr>
          <w:p w:rsidR="00271B3D" w:rsidRPr="00271B3D" w:rsidRDefault="00271B3D" w:rsidP="00271B3D">
            <w:pPr>
              <w:spacing w:after="0" w:line="240" w:lineRule="auto"/>
              <w:jc w:val="right"/>
              <w:rPr>
                <w:rFonts w:ascii="Arial" w:eastAsia="Times New Roman" w:hAnsi="Arial" w:cs="Arial"/>
                <w:b/>
                <w:bCs/>
                <w:sz w:val="18"/>
                <w:szCs w:val="18"/>
                <w:lang w:eastAsia="en-GB"/>
              </w:rPr>
            </w:pPr>
            <w:r w:rsidRPr="00271B3D">
              <w:rPr>
                <w:rFonts w:ascii="Arial" w:eastAsia="Times New Roman" w:hAnsi="Arial" w:cs="Arial"/>
                <w:b/>
                <w:bCs/>
                <w:sz w:val="18"/>
                <w:szCs w:val="18"/>
                <w:lang w:eastAsia="en-GB"/>
              </w:rPr>
              <w:t>(1,160)</w:t>
            </w:r>
          </w:p>
        </w:tc>
      </w:tr>
    </w:tbl>
    <w:p w:rsidR="00271B3D" w:rsidRDefault="00271B3D" w:rsidP="00271B3D">
      <w:pPr>
        <w:spacing w:after="0"/>
      </w:pPr>
    </w:p>
    <w:p w:rsidR="00EC6677" w:rsidRPr="008C6444" w:rsidRDefault="00271B3D" w:rsidP="00271B3D">
      <w:pPr>
        <w:spacing w:after="0"/>
        <w:rPr>
          <w:b/>
        </w:rPr>
      </w:pPr>
      <w:r w:rsidRPr="008C6444">
        <w:rPr>
          <w:b/>
        </w:rPr>
        <w:lastRenderedPageBreak/>
        <w:t>NOTE 8: NOTE TO THE EXPENDITURE AND FUNDING ANALYSIS</w:t>
      </w:r>
    </w:p>
    <w:p w:rsidR="00EC6677" w:rsidRDefault="00EC6677" w:rsidP="007E0EB4">
      <w:pPr>
        <w:spacing w:after="0"/>
      </w:pPr>
    </w:p>
    <w:tbl>
      <w:tblPr>
        <w:tblW w:w="9760" w:type="dxa"/>
        <w:tblLook w:val="04A0" w:firstRow="1" w:lastRow="0" w:firstColumn="1" w:lastColumn="0" w:noHBand="0" w:noVBand="1"/>
      </w:tblPr>
      <w:tblGrid>
        <w:gridCol w:w="4480"/>
        <w:gridCol w:w="880"/>
        <w:gridCol w:w="880"/>
        <w:gridCol w:w="880"/>
        <w:gridCol w:w="880"/>
        <w:gridCol w:w="880"/>
        <w:gridCol w:w="880"/>
      </w:tblGrid>
      <w:tr w:rsidR="00C57D70" w:rsidRPr="00C57D70" w:rsidTr="00C57D70">
        <w:trPr>
          <w:trHeight w:val="300"/>
        </w:trPr>
        <w:tc>
          <w:tcPr>
            <w:tcW w:w="4480" w:type="dxa"/>
            <w:tcBorders>
              <w:top w:val="single" w:sz="4" w:space="0" w:color="auto"/>
              <w:left w:val="single" w:sz="4" w:space="0" w:color="auto"/>
              <w:bottom w:val="nil"/>
              <w:right w:val="single" w:sz="4" w:space="0" w:color="auto"/>
            </w:tcBorders>
            <w:shd w:val="clear" w:color="000000" w:fill="B8CCE4"/>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2018/19</w:t>
            </w:r>
          </w:p>
        </w:tc>
        <w:tc>
          <w:tcPr>
            <w:tcW w:w="880" w:type="dxa"/>
            <w:vMerge w:val="restart"/>
            <w:tcBorders>
              <w:top w:val="single" w:sz="4" w:space="0" w:color="auto"/>
              <w:left w:val="single" w:sz="4" w:space="0" w:color="auto"/>
              <w:bottom w:val="nil"/>
              <w:right w:val="single" w:sz="4" w:space="0" w:color="auto"/>
            </w:tcBorders>
            <w:shd w:val="clear" w:color="000000" w:fill="B8CCE4"/>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Adjustments for Capital Purposes (Note A)</w:t>
            </w:r>
          </w:p>
        </w:tc>
        <w:tc>
          <w:tcPr>
            <w:tcW w:w="880" w:type="dxa"/>
            <w:vMerge w:val="restart"/>
            <w:tcBorders>
              <w:top w:val="single" w:sz="4" w:space="0" w:color="auto"/>
              <w:left w:val="single" w:sz="4" w:space="0" w:color="auto"/>
              <w:bottom w:val="nil"/>
              <w:right w:val="single" w:sz="4" w:space="0" w:color="auto"/>
            </w:tcBorders>
            <w:shd w:val="clear" w:color="000000" w:fill="B8CCE4"/>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Net change for the Pensions Adjustments (Note B)</w:t>
            </w:r>
          </w:p>
        </w:tc>
        <w:tc>
          <w:tcPr>
            <w:tcW w:w="880" w:type="dxa"/>
            <w:vMerge w:val="restart"/>
            <w:tcBorders>
              <w:top w:val="single" w:sz="4" w:space="0" w:color="auto"/>
              <w:left w:val="single" w:sz="4" w:space="0" w:color="auto"/>
              <w:bottom w:val="nil"/>
              <w:right w:val="single" w:sz="4" w:space="0" w:color="auto"/>
            </w:tcBorders>
            <w:shd w:val="clear" w:color="000000" w:fill="B8CCE4"/>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Other Statutory Adjustments (Note C)</w:t>
            </w:r>
          </w:p>
        </w:tc>
        <w:tc>
          <w:tcPr>
            <w:tcW w:w="880" w:type="dxa"/>
            <w:vMerge w:val="restart"/>
            <w:tcBorders>
              <w:top w:val="single" w:sz="4" w:space="0" w:color="auto"/>
              <w:left w:val="single" w:sz="4" w:space="0" w:color="auto"/>
              <w:bottom w:val="nil"/>
              <w:right w:val="single" w:sz="4" w:space="0" w:color="auto"/>
            </w:tcBorders>
            <w:shd w:val="clear" w:color="000000" w:fill="B8CCE4"/>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Total Statutory Adjustments</w:t>
            </w:r>
          </w:p>
        </w:tc>
        <w:tc>
          <w:tcPr>
            <w:tcW w:w="880" w:type="dxa"/>
            <w:vMerge w:val="restart"/>
            <w:tcBorders>
              <w:top w:val="single" w:sz="4" w:space="0" w:color="auto"/>
              <w:left w:val="single" w:sz="4" w:space="0" w:color="auto"/>
              <w:bottom w:val="nil"/>
              <w:right w:val="single" w:sz="4" w:space="0" w:color="auto"/>
            </w:tcBorders>
            <w:shd w:val="clear" w:color="auto" w:fill="FFFF00"/>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Non-Statutory Adjustments (Note D)</w:t>
            </w:r>
          </w:p>
        </w:tc>
        <w:tc>
          <w:tcPr>
            <w:tcW w:w="880" w:type="dxa"/>
            <w:vMerge w:val="restart"/>
            <w:tcBorders>
              <w:top w:val="single" w:sz="4" w:space="0" w:color="auto"/>
              <w:left w:val="single" w:sz="4" w:space="0" w:color="auto"/>
              <w:bottom w:val="nil"/>
              <w:right w:val="single" w:sz="4" w:space="0" w:color="auto"/>
            </w:tcBorders>
            <w:shd w:val="clear" w:color="000000" w:fill="B8CCE4"/>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Total Adjustments</w:t>
            </w:r>
          </w:p>
        </w:tc>
      </w:tr>
      <w:tr w:rsidR="00C57D70" w:rsidRPr="00C57D70" w:rsidTr="00C57D70">
        <w:trPr>
          <w:trHeight w:val="1755"/>
        </w:trPr>
        <w:tc>
          <w:tcPr>
            <w:tcW w:w="4480" w:type="dxa"/>
            <w:tcBorders>
              <w:top w:val="nil"/>
              <w:left w:val="single" w:sz="4" w:space="0" w:color="auto"/>
              <w:bottom w:val="nil"/>
              <w:right w:val="single" w:sz="4" w:space="0" w:color="auto"/>
            </w:tcBorders>
            <w:shd w:val="clear" w:color="000000" w:fill="B8CCE4"/>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Adjustments from General Fund to arrive at the Comprehensive Income and Expenditure Statement amounts</w:t>
            </w:r>
          </w:p>
        </w:tc>
        <w:tc>
          <w:tcPr>
            <w:tcW w:w="880" w:type="dxa"/>
            <w:vMerge/>
            <w:tcBorders>
              <w:top w:val="single" w:sz="4" w:space="0" w:color="auto"/>
              <w:left w:val="single" w:sz="4" w:space="0" w:color="auto"/>
              <w:bottom w:val="nil"/>
              <w:right w:val="single" w:sz="4" w:space="0" w:color="auto"/>
            </w:tcBorders>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c>
          <w:tcPr>
            <w:tcW w:w="880" w:type="dxa"/>
            <w:vMerge/>
            <w:tcBorders>
              <w:top w:val="single" w:sz="4" w:space="0" w:color="auto"/>
              <w:left w:val="single" w:sz="4" w:space="0" w:color="auto"/>
              <w:bottom w:val="nil"/>
              <w:right w:val="single" w:sz="4" w:space="0" w:color="auto"/>
            </w:tcBorders>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c>
          <w:tcPr>
            <w:tcW w:w="880" w:type="dxa"/>
            <w:vMerge/>
            <w:tcBorders>
              <w:top w:val="single" w:sz="4" w:space="0" w:color="auto"/>
              <w:left w:val="single" w:sz="4" w:space="0" w:color="auto"/>
              <w:bottom w:val="nil"/>
              <w:right w:val="single" w:sz="4" w:space="0" w:color="auto"/>
            </w:tcBorders>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c>
          <w:tcPr>
            <w:tcW w:w="880" w:type="dxa"/>
            <w:vMerge/>
            <w:tcBorders>
              <w:top w:val="single" w:sz="4" w:space="0" w:color="auto"/>
              <w:left w:val="single" w:sz="4" w:space="0" w:color="auto"/>
              <w:bottom w:val="nil"/>
              <w:right w:val="single" w:sz="4" w:space="0" w:color="auto"/>
            </w:tcBorders>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c>
          <w:tcPr>
            <w:tcW w:w="880" w:type="dxa"/>
            <w:vMerge/>
            <w:tcBorders>
              <w:top w:val="single" w:sz="4" w:space="0" w:color="auto"/>
              <w:left w:val="single" w:sz="4" w:space="0" w:color="auto"/>
              <w:bottom w:val="nil"/>
              <w:right w:val="single" w:sz="4" w:space="0" w:color="auto"/>
            </w:tcBorders>
            <w:shd w:val="clear" w:color="auto" w:fill="FFFF00"/>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c>
          <w:tcPr>
            <w:tcW w:w="880" w:type="dxa"/>
            <w:vMerge/>
            <w:tcBorders>
              <w:top w:val="single" w:sz="4" w:space="0" w:color="auto"/>
              <w:left w:val="single" w:sz="4" w:space="0" w:color="auto"/>
              <w:bottom w:val="nil"/>
              <w:right w:val="single" w:sz="4" w:space="0" w:color="auto"/>
            </w:tcBorders>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r>
      <w:tr w:rsidR="00C57D70" w:rsidRPr="00C57D70" w:rsidTr="00C57D70">
        <w:trPr>
          <w:trHeight w:val="300"/>
        </w:trPr>
        <w:tc>
          <w:tcPr>
            <w:tcW w:w="4480" w:type="dxa"/>
            <w:tcBorders>
              <w:top w:val="nil"/>
              <w:left w:val="single" w:sz="4" w:space="0" w:color="auto"/>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 </w:t>
            </w:r>
          </w:p>
        </w:tc>
        <w:tc>
          <w:tcPr>
            <w:tcW w:w="880" w:type="dxa"/>
            <w:tcBorders>
              <w:top w:val="nil"/>
              <w:left w:val="nil"/>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£’000</w:t>
            </w:r>
          </w:p>
        </w:tc>
        <w:tc>
          <w:tcPr>
            <w:tcW w:w="880" w:type="dxa"/>
            <w:tcBorders>
              <w:top w:val="nil"/>
              <w:left w:val="nil"/>
              <w:bottom w:val="single" w:sz="4" w:space="0" w:color="auto"/>
              <w:right w:val="single" w:sz="4" w:space="0" w:color="auto"/>
            </w:tcBorders>
            <w:shd w:val="clear" w:color="auto" w:fill="FFFF00"/>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£’000</w:t>
            </w:r>
          </w:p>
        </w:tc>
      </w:tr>
      <w:tr w:rsidR="00C57D70" w:rsidRPr="00C57D70" w:rsidTr="00C57D70">
        <w:trPr>
          <w:trHeight w:val="9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Chief Executive</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(5)</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7</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Neighbourhoods &amp; Development</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1,787</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(61)</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(29)</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1,697</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(219)</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1,478</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Planning &amp; Property</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307</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(21)</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290</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1,026</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1,316</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Finance &amp; Assurance</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581</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583</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(269)</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314</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Legal, HR &amp; Democratic Services</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18</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(12)</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(8)</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Customer Experience &amp; Operations</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161</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(30)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8</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139</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139</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Budgets Not in Directorates</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(90)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(90)</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(90)</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Net Cost of Service</w:t>
            </w:r>
          </w:p>
        </w:tc>
        <w:tc>
          <w:tcPr>
            <w:tcW w:w="880" w:type="dxa"/>
            <w:tcBorders>
              <w:top w:val="single" w:sz="4" w:space="0" w:color="auto"/>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2,279</w:t>
            </w:r>
          </w:p>
        </w:tc>
        <w:tc>
          <w:tcPr>
            <w:tcW w:w="880" w:type="dxa"/>
            <w:tcBorders>
              <w:top w:val="single" w:sz="4" w:space="0" w:color="auto"/>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362</w:t>
            </w:r>
          </w:p>
        </w:tc>
        <w:tc>
          <w:tcPr>
            <w:tcW w:w="880" w:type="dxa"/>
            <w:tcBorders>
              <w:top w:val="single" w:sz="4" w:space="0" w:color="auto"/>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(20)</w:t>
            </w:r>
          </w:p>
        </w:tc>
        <w:tc>
          <w:tcPr>
            <w:tcW w:w="880" w:type="dxa"/>
            <w:tcBorders>
              <w:top w:val="single" w:sz="4" w:space="0" w:color="auto"/>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2,621</w:t>
            </w:r>
          </w:p>
        </w:tc>
        <w:tc>
          <w:tcPr>
            <w:tcW w:w="880" w:type="dxa"/>
            <w:tcBorders>
              <w:top w:val="single" w:sz="4" w:space="0" w:color="auto"/>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538</w:t>
            </w:r>
          </w:p>
        </w:tc>
        <w:tc>
          <w:tcPr>
            <w:tcW w:w="880" w:type="dxa"/>
            <w:tcBorders>
              <w:top w:val="single" w:sz="4" w:space="0" w:color="auto"/>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3,159</w:t>
            </w:r>
          </w:p>
        </w:tc>
      </w:tr>
      <w:tr w:rsidR="00C57D70" w:rsidRPr="00C57D70" w:rsidTr="00C57D70">
        <w:trPr>
          <w:trHeight w:val="102"/>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r>
      <w:tr w:rsidR="00C57D70" w:rsidRPr="00C57D70" w:rsidTr="00C57D70">
        <w:trPr>
          <w:trHeight w:val="51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Other income and expenditure from the Expenditure and Funding Analysis</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(2,073)</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809</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(61)</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(1,325)</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(538)</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(1,863)</w:t>
            </w:r>
          </w:p>
        </w:tc>
      </w:tr>
      <w:tr w:rsidR="00C57D70" w:rsidRPr="00C57D70" w:rsidTr="00C57D70">
        <w:trPr>
          <w:trHeight w:val="9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single" w:sz="4" w:space="0" w:color="auto"/>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single" w:sz="4" w:space="0" w:color="auto"/>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single" w:sz="4" w:space="0" w:color="auto"/>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single" w:sz="4" w:space="0" w:color="auto"/>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single" w:sz="4" w:space="0" w:color="auto"/>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r>
      <w:tr w:rsidR="00C57D70" w:rsidRPr="00C57D70" w:rsidTr="00C57D70">
        <w:trPr>
          <w:trHeight w:val="1020"/>
        </w:trPr>
        <w:tc>
          <w:tcPr>
            <w:tcW w:w="4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Difference between General Fund surplus or deficit and Comprehensive Income and Expenditure Statement Surplus or Deficit on the Provision of Services</w:t>
            </w:r>
          </w:p>
        </w:tc>
        <w:tc>
          <w:tcPr>
            <w:tcW w:w="880" w:type="dxa"/>
            <w:tcBorders>
              <w:top w:val="nil"/>
              <w:left w:val="nil"/>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206</w:t>
            </w:r>
          </w:p>
        </w:tc>
        <w:tc>
          <w:tcPr>
            <w:tcW w:w="880" w:type="dxa"/>
            <w:tcBorders>
              <w:top w:val="nil"/>
              <w:left w:val="nil"/>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1,171</w:t>
            </w:r>
          </w:p>
        </w:tc>
        <w:tc>
          <w:tcPr>
            <w:tcW w:w="880" w:type="dxa"/>
            <w:tcBorders>
              <w:top w:val="nil"/>
              <w:left w:val="nil"/>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(81)</w:t>
            </w:r>
          </w:p>
        </w:tc>
        <w:tc>
          <w:tcPr>
            <w:tcW w:w="880" w:type="dxa"/>
            <w:tcBorders>
              <w:top w:val="nil"/>
              <w:left w:val="nil"/>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1,296</w:t>
            </w:r>
          </w:p>
        </w:tc>
        <w:tc>
          <w:tcPr>
            <w:tcW w:w="880" w:type="dxa"/>
            <w:tcBorders>
              <w:top w:val="nil"/>
              <w:left w:val="nil"/>
              <w:bottom w:val="single" w:sz="4" w:space="0" w:color="auto"/>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w:t>
            </w:r>
          </w:p>
        </w:tc>
        <w:tc>
          <w:tcPr>
            <w:tcW w:w="880" w:type="dxa"/>
            <w:tcBorders>
              <w:top w:val="nil"/>
              <w:left w:val="nil"/>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1,296</w:t>
            </w:r>
          </w:p>
        </w:tc>
      </w:tr>
    </w:tbl>
    <w:p w:rsidR="00EC6677" w:rsidRDefault="00EC6677" w:rsidP="007E0EB4">
      <w:pPr>
        <w:spacing w:after="0"/>
      </w:pPr>
    </w:p>
    <w:p w:rsidR="00C57D70" w:rsidRDefault="00C57D70">
      <w:r>
        <w:br w:type="page"/>
      </w:r>
    </w:p>
    <w:p w:rsidR="00C57D70" w:rsidRDefault="00C57D70" w:rsidP="007E0EB4">
      <w:pPr>
        <w:spacing w:after="0"/>
      </w:pPr>
    </w:p>
    <w:tbl>
      <w:tblPr>
        <w:tblW w:w="9760" w:type="dxa"/>
        <w:tblLook w:val="04A0" w:firstRow="1" w:lastRow="0" w:firstColumn="1" w:lastColumn="0" w:noHBand="0" w:noVBand="1"/>
      </w:tblPr>
      <w:tblGrid>
        <w:gridCol w:w="4480"/>
        <w:gridCol w:w="880"/>
        <w:gridCol w:w="880"/>
        <w:gridCol w:w="880"/>
        <w:gridCol w:w="880"/>
        <w:gridCol w:w="880"/>
        <w:gridCol w:w="880"/>
      </w:tblGrid>
      <w:tr w:rsidR="00C57D70" w:rsidRPr="00C57D70" w:rsidTr="00C57D70">
        <w:trPr>
          <w:trHeight w:val="42"/>
        </w:trPr>
        <w:tc>
          <w:tcPr>
            <w:tcW w:w="4480" w:type="dxa"/>
            <w:tcBorders>
              <w:top w:val="nil"/>
              <w:left w:val="nil"/>
              <w:bottom w:val="nil"/>
              <w:right w:val="nil"/>
            </w:tcBorders>
            <w:shd w:val="clear" w:color="auto" w:fill="auto"/>
            <w:noWrap/>
            <w:vAlign w:val="bottom"/>
            <w:hideMark/>
          </w:tcPr>
          <w:p w:rsidR="00C57D70" w:rsidRPr="00C57D70" w:rsidRDefault="00C57D70" w:rsidP="00C57D70">
            <w:pPr>
              <w:spacing w:after="0" w:line="240" w:lineRule="auto"/>
              <w:rPr>
                <w:rFonts w:ascii="Times New Roman" w:eastAsia="Times New Roman" w:hAnsi="Times New Roman" w:cs="Times New Roman"/>
                <w:sz w:val="24"/>
                <w:szCs w:val="24"/>
                <w:lang w:eastAsia="en-GB"/>
              </w:rPr>
            </w:pPr>
          </w:p>
        </w:tc>
        <w:tc>
          <w:tcPr>
            <w:tcW w:w="880" w:type="dxa"/>
            <w:tcBorders>
              <w:top w:val="nil"/>
              <w:left w:val="nil"/>
              <w:bottom w:val="nil"/>
              <w:right w:val="nil"/>
            </w:tcBorders>
            <w:shd w:val="clear" w:color="auto" w:fill="auto"/>
            <w:noWrap/>
            <w:vAlign w:val="bottom"/>
            <w:hideMark/>
          </w:tcPr>
          <w:p w:rsidR="00C57D70" w:rsidRPr="00C57D70" w:rsidRDefault="00C57D70" w:rsidP="00C57D70">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C57D70" w:rsidRPr="00C57D70" w:rsidRDefault="00C57D70" w:rsidP="00C57D70">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C57D70" w:rsidRPr="00C57D70" w:rsidRDefault="00C57D70" w:rsidP="00C57D70">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C57D70" w:rsidRPr="00C57D70" w:rsidRDefault="00C57D70" w:rsidP="00C57D70">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C57D70" w:rsidRPr="00C57D70" w:rsidRDefault="00C57D70" w:rsidP="00C57D70">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C57D70" w:rsidRPr="00C57D70" w:rsidRDefault="00C57D70" w:rsidP="00C57D70">
            <w:pPr>
              <w:spacing w:after="0" w:line="240" w:lineRule="auto"/>
              <w:rPr>
                <w:rFonts w:ascii="Times New Roman" w:eastAsia="Times New Roman" w:hAnsi="Times New Roman" w:cs="Times New Roman"/>
                <w:sz w:val="20"/>
                <w:szCs w:val="20"/>
                <w:lang w:eastAsia="en-GB"/>
              </w:rPr>
            </w:pPr>
          </w:p>
        </w:tc>
      </w:tr>
      <w:tr w:rsidR="00C57D70" w:rsidRPr="00C57D70" w:rsidTr="00C57D70">
        <w:trPr>
          <w:trHeight w:val="1020"/>
        </w:trPr>
        <w:tc>
          <w:tcPr>
            <w:tcW w:w="4480" w:type="dxa"/>
            <w:tcBorders>
              <w:top w:val="single" w:sz="4" w:space="0" w:color="auto"/>
              <w:left w:val="single" w:sz="4" w:space="0" w:color="auto"/>
              <w:bottom w:val="nil"/>
              <w:right w:val="single" w:sz="4" w:space="0" w:color="auto"/>
            </w:tcBorders>
            <w:shd w:val="clear" w:color="000000" w:fill="B8CCE4"/>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2017/18 Comparative Figures</w:t>
            </w:r>
          </w:p>
        </w:tc>
        <w:tc>
          <w:tcPr>
            <w:tcW w:w="880" w:type="dxa"/>
            <w:vMerge w:val="restart"/>
            <w:tcBorders>
              <w:top w:val="single" w:sz="4" w:space="0" w:color="auto"/>
              <w:left w:val="single" w:sz="4" w:space="0" w:color="auto"/>
              <w:bottom w:val="nil"/>
              <w:right w:val="single" w:sz="4" w:space="0" w:color="auto"/>
            </w:tcBorders>
            <w:shd w:val="clear" w:color="000000" w:fill="B8CCE4"/>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Adjustments for Capital Purposes (Note A)</w:t>
            </w:r>
          </w:p>
        </w:tc>
        <w:tc>
          <w:tcPr>
            <w:tcW w:w="880" w:type="dxa"/>
            <w:vMerge w:val="restart"/>
            <w:tcBorders>
              <w:top w:val="single" w:sz="4" w:space="0" w:color="auto"/>
              <w:left w:val="single" w:sz="4" w:space="0" w:color="auto"/>
              <w:bottom w:val="nil"/>
              <w:right w:val="single" w:sz="4" w:space="0" w:color="auto"/>
            </w:tcBorders>
            <w:shd w:val="clear" w:color="000000" w:fill="B8CCE4"/>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Net change for the Pensions Adjustments (Note B)</w:t>
            </w:r>
          </w:p>
        </w:tc>
        <w:tc>
          <w:tcPr>
            <w:tcW w:w="880" w:type="dxa"/>
            <w:vMerge w:val="restart"/>
            <w:tcBorders>
              <w:top w:val="single" w:sz="4" w:space="0" w:color="auto"/>
              <w:left w:val="single" w:sz="4" w:space="0" w:color="auto"/>
              <w:bottom w:val="nil"/>
              <w:right w:val="single" w:sz="4" w:space="0" w:color="auto"/>
            </w:tcBorders>
            <w:shd w:val="clear" w:color="000000" w:fill="B8CCE4"/>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Other Statutory Adjustments (Note C)</w:t>
            </w:r>
          </w:p>
        </w:tc>
        <w:tc>
          <w:tcPr>
            <w:tcW w:w="880" w:type="dxa"/>
            <w:vMerge w:val="restart"/>
            <w:tcBorders>
              <w:top w:val="single" w:sz="4" w:space="0" w:color="auto"/>
              <w:left w:val="single" w:sz="4" w:space="0" w:color="auto"/>
              <w:bottom w:val="nil"/>
              <w:right w:val="single" w:sz="4" w:space="0" w:color="auto"/>
            </w:tcBorders>
            <w:shd w:val="clear" w:color="000000" w:fill="B8CCE4"/>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Total Statutory Adjustments</w:t>
            </w:r>
          </w:p>
        </w:tc>
        <w:tc>
          <w:tcPr>
            <w:tcW w:w="880" w:type="dxa"/>
            <w:vMerge w:val="restart"/>
            <w:tcBorders>
              <w:top w:val="single" w:sz="4" w:space="0" w:color="auto"/>
              <w:left w:val="single" w:sz="4" w:space="0" w:color="auto"/>
              <w:bottom w:val="nil"/>
              <w:right w:val="single" w:sz="4" w:space="0" w:color="auto"/>
            </w:tcBorders>
            <w:shd w:val="clear" w:color="auto" w:fill="FFFF00"/>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Non-Statutory Adjustments (Note D)</w:t>
            </w:r>
          </w:p>
        </w:tc>
        <w:tc>
          <w:tcPr>
            <w:tcW w:w="880" w:type="dxa"/>
            <w:vMerge w:val="restart"/>
            <w:tcBorders>
              <w:top w:val="single" w:sz="4" w:space="0" w:color="auto"/>
              <w:left w:val="single" w:sz="4" w:space="0" w:color="auto"/>
              <w:bottom w:val="nil"/>
              <w:right w:val="single" w:sz="4" w:space="0" w:color="auto"/>
            </w:tcBorders>
            <w:shd w:val="clear" w:color="000000" w:fill="B8CCE4"/>
            <w:textDirection w:val="btLr"/>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Total Adjustments</w:t>
            </w:r>
          </w:p>
        </w:tc>
      </w:tr>
      <w:tr w:rsidR="00C57D70" w:rsidRPr="00C57D70" w:rsidTr="00C57D70">
        <w:trPr>
          <w:trHeight w:val="1755"/>
        </w:trPr>
        <w:tc>
          <w:tcPr>
            <w:tcW w:w="4480" w:type="dxa"/>
            <w:tcBorders>
              <w:top w:val="nil"/>
              <w:left w:val="single" w:sz="4" w:space="0" w:color="auto"/>
              <w:bottom w:val="nil"/>
              <w:right w:val="single" w:sz="4" w:space="0" w:color="auto"/>
            </w:tcBorders>
            <w:shd w:val="clear" w:color="000000" w:fill="B8CCE4"/>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Adjustments from General Fund to arrive at the Comprehensive Income and Expenditure Statement amounts</w:t>
            </w:r>
          </w:p>
        </w:tc>
        <w:tc>
          <w:tcPr>
            <w:tcW w:w="880" w:type="dxa"/>
            <w:vMerge/>
            <w:tcBorders>
              <w:top w:val="single" w:sz="4" w:space="0" w:color="auto"/>
              <w:left w:val="single" w:sz="4" w:space="0" w:color="auto"/>
              <w:bottom w:val="nil"/>
              <w:right w:val="single" w:sz="4" w:space="0" w:color="auto"/>
            </w:tcBorders>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c>
          <w:tcPr>
            <w:tcW w:w="880" w:type="dxa"/>
            <w:vMerge/>
            <w:tcBorders>
              <w:top w:val="single" w:sz="4" w:space="0" w:color="auto"/>
              <w:left w:val="single" w:sz="4" w:space="0" w:color="auto"/>
              <w:bottom w:val="nil"/>
              <w:right w:val="single" w:sz="4" w:space="0" w:color="auto"/>
            </w:tcBorders>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c>
          <w:tcPr>
            <w:tcW w:w="880" w:type="dxa"/>
            <w:vMerge/>
            <w:tcBorders>
              <w:top w:val="single" w:sz="4" w:space="0" w:color="auto"/>
              <w:left w:val="single" w:sz="4" w:space="0" w:color="auto"/>
              <w:bottom w:val="nil"/>
              <w:right w:val="single" w:sz="4" w:space="0" w:color="auto"/>
            </w:tcBorders>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c>
          <w:tcPr>
            <w:tcW w:w="880" w:type="dxa"/>
            <w:vMerge/>
            <w:tcBorders>
              <w:top w:val="single" w:sz="4" w:space="0" w:color="auto"/>
              <w:left w:val="single" w:sz="4" w:space="0" w:color="auto"/>
              <w:bottom w:val="nil"/>
              <w:right w:val="single" w:sz="4" w:space="0" w:color="auto"/>
            </w:tcBorders>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c>
          <w:tcPr>
            <w:tcW w:w="880" w:type="dxa"/>
            <w:vMerge/>
            <w:tcBorders>
              <w:top w:val="single" w:sz="4" w:space="0" w:color="auto"/>
              <w:left w:val="single" w:sz="4" w:space="0" w:color="auto"/>
              <w:bottom w:val="nil"/>
              <w:right w:val="single" w:sz="4" w:space="0" w:color="auto"/>
            </w:tcBorders>
            <w:shd w:val="clear" w:color="auto" w:fill="FFFF00"/>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c>
          <w:tcPr>
            <w:tcW w:w="880" w:type="dxa"/>
            <w:vMerge/>
            <w:tcBorders>
              <w:top w:val="single" w:sz="4" w:space="0" w:color="auto"/>
              <w:left w:val="single" w:sz="4" w:space="0" w:color="auto"/>
              <w:bottom w:val="nil"/>
              <w:right w:val="single" w:sz="4" w:space="0" w:color="auto"/>
            </w:tcBorders>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p>
        </w:tc>
      </w:tr>
      <w:tr w:rsidR="00C57D70" w:rsidRPr="00C57D70" w:rsidTr="00C57D70">
        <w:trPr>
          <w:trHeight w:val="300"/>
        </w:trPr>
        <w:tc>
          <w:tcPr>
            <w:tcW w:w="4480" w:type="dxa"/>
            <w:tcBorders>
              <w:top w:val="nil"/>
              <w:left w:val="single" w:sz="4" w:space="0" w:color="auto"/>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 </w:t>
            </w:r>
          </w:p>
        </w:tc>
        <w:tc>
          <w:tcPr>
            <w:tcW w:w="880" w:type="dxa"/>
            <w:tcBorders>
              <w:top w:val="nil"/>
              <w:left w:val="nil"/>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£’000</w:t>
            </w:r>
          </w:p>
        </w:tc>
        <w:tc>
          <w:tcPr>
            <w:tcW w:w="880" w:type="dxa"/>
            <w:tcBorders>
              <w:top w:val="nil"/>
              <w:left w:val="nil"/>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 </w:t>
            </w:r>
          </w:p>
        </w:tc>
        <w:tc>
          <w:tcPr>
            <w:tcW w:w="880" w:type="dxa"/>
            <w:tcBorders>
              <w:top w:val="nil"/>
              <w:left w:val="nil"/>
              <w:bottom w:val="single" w:sz="4" w:space="0" w:color="auto"/>
              <w:right w:val="single" w:sz="4" w:space="0" w:color="auto"/>
            </w:tcBorders>
            <w:shd w:val="clear" w:color="auto" w:fill="FFFF00"/>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 </w:t>
            </w:r>
          </w:p>
        </w:tc>
        <w:tc>
          <w:tcPr>
            <w:tcW w:w="880" w:type="dxa"/>
            <w:tcBorders>
              <w:top w:val="nil"/>
              <w:left w:val="nil"/>
              <w:bottom w:val="single" w:sz="4" w:space="0" w:color="auto"/>
              <w:right w:val="single" w:sz="4" w:space="0" w:color="auto"/>
            </w:tcBorders>
            <w:shd w:val="clear" w:color="000000" w:fill="B8CCE4"/>
            <w:vAlign w:val="center"/>
            <w:hideMark/>
          </w:tcPr>
          <w:p w:rsidR="00C57D70" w:rsidRPr="00C57D70" w:rsidRDefault="00C57D70" w:rsidP="00C57D70">
            <w:pPr>
              <w:spacing w:after="0" w:line="240" w:lineRule="auto"/>
              <w:jc w:val="center"/>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£’000</w:t>
            </w:r>
          </w:p>
        </w:tc>
      </w:tr>
      <w:tr w:rsidR="00C57D70" w:rsidRPr="00C57D70" w:rsidTr="00C57D70">
        <w:trPr>
          <w:trHeight w:val="102"/>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Chief Executive</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25</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28</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28</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Neighbourhoods &amp; Development</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1,498</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92</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1,592</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(254)</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1,338</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Planning &amp; Property</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367</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33</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398</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1,025</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1,423</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Finance &amp; Assurance</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121</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124</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(183)</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(59)</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Legal, HR &amp; Democratic Services</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16</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23</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5</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44</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44</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Customer Experience &amp; Operations</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161</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44</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195</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195</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Budgets Not in Directorates</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131</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(13)</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118</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0</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118</w:t>
            </w:r>
          </w:p>
        </w:tc>
      </w:tr>
      <w:tr w:rsidR="00C57D70" w:rsidRPr="00C57D70" w:rsidTr="00C57D70">
        <w:trPr>
          <w:trHeight w:val="30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Net Cost of Service</w:t>
            </w:r>
          </w:p>
        </w:tc>
        <w:tc>
          <w:tcPr>
            <w:tcW w:w="880" w:type="dxa"/>
            <w:tcBorders>
              <w:top w:val="single" w:sz="4" w:space="0" w:color="auto"/>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2,071</w:t>
            </w:r>
          </w:p>
        </w:tc>
        <w:tc>
          <w:tcPr>
            <w:tcW w:w="880" w:type="dxa"/>
            <w:tcBorders>
              <w:top w:val="single" w:sz="4" w:space="0" w:color="auto"/>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448</w:t>
            </w:r>
          </w:p>
        </w:tc>
        <w:tc>
          <w:tcPr>
            <w:tcW w:w="880" w:type="dxa"/>
            <w:tcBorders>
              <w:top w:val="single" w:sz="4" w:space="0" w:color="auto"/>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(20)</w:t>
            </w:r>
          </w:p>
        </w:tc>
        <w:tc>
          <w:tcPr>
            <w:tcW w:w="880" w:type="dxa"/>
            <w:tcBorders>
              <w:top w:val="single" w:sz="4" w:space="0" w:color="auto"/>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2,499</w:t>
            </w:r>
          </w:p>
        </w:tc>
        <w:tc>
          <w:tcPr>
            <w:tcW w:w="880" w:type="dxa"/>
            <w:tcBorders>
              <w:top w:val="single" w:sz="4" w:space="0" w:color="auto"/>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588</w:t>
            </w:r>
          </w:p>
        </w:tc>
        <w:tc>
          <w:tcPr>
            <w:tcW w:w="880" w:type="dxa"/>
            <w:tcBorders>
              <w:top w:val="single" w:sz="4" w:space="0" w:color="auto"/>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3,087</w:t>
            </w:r>
          </w:p>
        </w:tc>
      </w:tr>
      <w:tr w:rsidR="00C57D70" w:rsidRPr="00C57D70" w:rsidTr="00C57D70">
        <w:trPr>
          <w:trHeight w:val="102"/>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r>
      <w:tr w:rsidR="00C57D70" w:rsidRPr="00C57D70" w:rsidTr="00C57D70">
        <w:trPr>
          <w:trHeight w:val="510"/>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Other income and expenditure from the Expenditure and Funding Analysis</w:t>
            </w:r>
          </w:p>
        </w:tc>
        <w:tc>
          <w:tcPr>
            <w:tcW w:w="880" w:type="dxa"/>
            <w:tcBorders>
              <w:top w:val="nil"/>
              <w:left w:val="single" w:sz="4" w:space="0" w:color="auto"/>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(4,439)</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888</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126</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(3,425)</w:t>
            </w:r>
          </w:p>
        </w:tc>
        <w:tc>
          <w:tcPr>
            <w:tcW w:w="880" w:type="dxa"/>
            <w:tcBorders>
              <w:top w:val="nil"/>
              <w:left w:val="nil"/>
              <w:bottom w:val="nil"/>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(588)</w:t>
            </w:r>
          </w:p>
        </w:tc>
        <w:tc>
          <w:tcPr>
            <w:tcW w:w="880" w:type="dxa"/>
            <w:tcBorders>
              <w:top w:val="nil"/>
              <w:left w:val="nil"/>
              <w:bottom w:val="nil"/>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(4,013)</w:t>
            </w:r>
          </w:p>
        </w:tc>
      </w:tr>
      <w:tr w:rsidR="00C57D70" w:rsidRPr="00C57D70" w:rsidTr="00C57D70">
        <w:trPr>
          <w:trHeight w:val="102"/>
        </w:trPr>
        <w:tc>
          <w:tcPr>
            <w:tcW w:w="4480" w:type="dxa"/>
            <w:tcBorders>
              <w:top w:val="nil"/>
              <w:left w:val="single" w:sz="4" w:space="0" w:color="auto"/>
              <w:bottom w:val="nil"/>
              <w:right w:val="nil"/>
            </w:tcBorders>
            <w:shd w:val="clear" w:color="auto" w:fill="auto"/>
            <w:vAlign w:val="center"/>
            <w:hideMark/>
          </w:tcPr>
          <w:p w:rsidR="00C57D70" w:rsidRPr="00C57D70" w:rsidRDefault="00C57D70" w:rsidP="00C57D70">
            <w:pPr>
              <w:spacing w:after="0" w:line="240" w:lineRule="auto"/>
              <w:jc w:val="both"/>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single" w:sz="4" w:space="0" w:color="auto"/>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single" w:sz="4" w:space="0" w:color="auto"/>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single" w:sz="4" w:space="0" w:color="auto"/>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single" w:sz="4" w:space="0" w:color="auto"/>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c>
          <w:tcPr>
            <w:tcW w:w="880" w:type="dxa"/>
            <w:tcBorders>
              <w:top w:val="nil"/>
              <w:left w:val="nil"/>
              <w:bottom w:val="single" w:sz="4" w:space="0" w:color="auto"/>
              <w:right w:val="single" w:sz="4" w:space="0" w:color="auto"/>
            </w:tcBorders>
            <w:shd w:val="clear" w:color="auto" w:fill="auto"/>
            <w:vAlign w:val="center"/>
            <w:hideMark/>
          </w:tcPr>
          <w:p w:rsidR="00C57D70" w:rsidRPr="00C57D70" w:rsidRDefault="00C57D70" w:rsidP="00C57D70">
            <w:pPr>
              <w:spacing w:after="0" w:line="240" w:lineRule="auto"/>
              <w:jc w:val="right"/>
              <w:rPr>
                <w:rFonts w:ascii="Arial" w:eastAsia="Times New Roman" w:hAnsi="Arial" w:cs="Arial"/>
                <w:color w:val="000000"/>
                <w:sz w:val="20"/>
                <w:szCs w:val="20"/>
                <w:lang w:eastAsia="en-GB"/>
              </w:rPr>
            </w:pPr>
            <w:r w:rsidRPr="00C57D70">
              <w:rPr>
                <w:rFonts w:ascii="Arial" w:eastAsia="Times New Roman" w:hAnsi="Arial" w:cs="Arial"/>
                <w:color w:val="000000"/>
                <w:sz w:val="20"/>
                <w:szCs w:val="20"/>
                <w:lang w:eastAsia="en-GB"/>
              </w:rPr>
              <w:t> </w:t>
            </w:r>
          </w:p>
        </w:tc>
      </w:tr>
      <w:tr w:rsidR="00C57D70" w:rsidRPr="00C57D70" w:rsidTr="00C57D70">
        <w:trPr>
          <w:trHeight w:val="1020"/>
        </w:trPr>
        <w:tc>
          <w:tcPr>
            <w:tcW w:w="4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Difference between General Fund surplus or deficit and Comprehensive Income and Expenditure Statement Surplus or Deficit on the Provision of Services</w:t>
            </w:r>
          </w:p>
        </w:tc>
        <w:tc>
          <w:tcPr>
            <w:tcW w:w="880" w:type="dxa"/>
            <w:tcBorders>
              <w:top w:val="nil"/>
              <w:left w:val="nil"/>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(2,368)</w:t>
            </w:r>
          </w:p>
        </w:tc>
        <w:tc>
          <w:tcPr>
            <w:tcW w:w="880" w:type="dxa"/>
            <w:tcBorders>
              <w:top w:val="nil"/>
              <w:left w:val="nil"/>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1,336</w:t>
            </w:r>
          </w:p>
        </w:tc>
        <w:tc>
          <w:tcPr>
            <w:tcW w:w="880" w:type="dxa"/>
            <w:tcBorders>
              <w:top w:val="nil"/>
              <w:left w:val="nil"/>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106</w:t>
            </w:r>
          </w:p>
        </w:tc>
        <w:tc>
          <w:tcPr>
            <w:tcW w:w="880" w:type="dxa"/>
            <w:tcBorders>
              <w:top w:val="nil"/>
              <w:left w:val="nil"/>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(926)</w:t>
            </w:r>
          </w:p>
        </w:tc>
        <w:tc>
          <w:tcPr>
            <w:tcW w:w="880" w:type="dxa"/>
            <w:tcBorders>
              <w:top w:val="nil"/>
              <w:left w:val="nil"/>
              <w:bottom w:val="single" w:sz="4" w:space="0" w:color="auto"/>
              <w:right w:val="single" w:sz="4" w:space="0" w:color="auto"/>
            </w:tcBorders>
            <w:shd w:val="clear" w:color="auto" w:fill="FFFF00"/>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0</w:t>
            </w:r>
          </w:p>
        </w:tc>
        <w:tc>
          <w:tcPr>
            <w:tcW w:w="880" w:type="dxa"/>
            <w:tcBorders>
              <w:top w:val="nil"/>
              <w:left w:val="nil"/>
              <w:bottom w:val="single" w:sz="4" w:space="0" w:color="auto"/>
              <w:right w:val="single" w:sz="4" w:space="0" w:color="auto"/>
            </w:tcBorders>
            <w:shd w:val="clear" w:color="000000" w:fill="D9D9D9"/>
            <w:vAlign w:val="center"/>
            <w:hideMark/>
          </w:tcPr>
          <w:p w:rsidR="00C57D70" w:rsidRPr="00C57D70" w:rsidRDefault="00C57D70" w:rsidP="00C57D70">
            <w:pPr>
              <w:spacing w:after="0" w:line="240" w:lineRule="auto"/>
              <w:jc w:val="right"/>
              <w:rPr>
                <w:rFonts w:ascii="Arial" w:eastAsia="Times New Roman" w:hAnsi="Arial" w:cs="Arial"/>
                <w:b/>
                <w:bCs/>
                <w:color w:val="000000"/>
                <w:sz w:val="20"/>
                <w:szCs w:val="20"/>
                <w:lang w:eastAsia="en-GB"/>
              </w:rPr>
            </w:pPr>
            <w:r w:rsidRPr="00C57D70">
              <w:rPr>
                <w:rFonts w:ascii="Arial" w:eastAsia="Times New Roman" w:hAnsi="Arial" w:cs="Arial"/>
                <w:b/>
                <w:bCs/>
                <w:color w:val="000000"/>
                <w:sz w:val="20"/>
                <w:szCs w:val="20"/>
                <w:lang w:eastAsia="en-GB"/>
              </w:rPr>
              <w:t>(926)</w:t>
            </w:r>
          </w:p>
        </w:tc>
      </w:tr>
    </w:tbl>
    <w:p w:rsidR="008C6444" w:rsidRDefault="008C6444" w:rsidP="007E0EB4">
      <w:pPr>
        <w:spacing w:after="0"/>
      </w:pPr>
    </w:p>
    <w:p w:rsidR="00C57D70" w:rsidRDefault="00C57D70" w:rsidP="007E0EB4">
      <w:pPr>
        <w:spacing w:after="0"/>
      </w:pPr>
      <w:r>
        <w:t>Further text has also been added, to describe the nature of the Non-Statutory Adjustments.</w:t>
      </w:r>
    </w:p>
    <w:p w:rsidR="00C57D70" w:rsidRDefault="00C57D70" w:rsidP="007E0EB4">
      <w:pPr>
        <w:spacing w:after="0"/>
      </w:pPr>
    </w:p>
    <w:p w:rsidR="008C6444" w:rsidRDefault="008C6444" w:rsidP="007E0EB4">
      <w:pPr>
        <w:spacing w:after="0"/>
      </w:pPr>
    </w:p>
    <w:p w:rsidR="00F81480" w:rsidRDefault="00F81480">
      <w:pPr>
        <w:rPr>
          <w:b/>
        </w:rPr>
      </w:pPr>
      <w:r>
        <w:rPr>
          <w:b/>
        </w:rPr>
        <w:br w:type="page"/>
      </w:r>
    </w:p>
    <w:p w:rsidR="008C6444" w:rsidRPr="00F81480" w:rsidRDefault="00F81480" w:rsidP="007E0EB4">
      <w:pPr>
        <w:spacing w:after="0"/>
        <w:rPr>
          <w:b/>
        </w:rPr>
      </w:pPr>
      <w:r w:rsidRPr="00F81480">
        <w:rPr>
          <w:b/>
        </w:rPr>
        <w:lastRenderedPageBreak/>
        <w:t>2.</w:t>
      </w:r>
      <w:r w:rsidRPr="00F81480">
        <w:rPr>
          <w:b/>
        </w:rPr>
        <w:tab/>
        <w:t>NOTE 13: FINANCE AND INVESTMENT INCOME AND EXPENDITURE</w:t>
      </w:r>
    </w:p>
    <w:p w:rsidR="008C6444" w:rsidRDefault="008C6444" w:rsidP="007E0EB4">
      <w:pPr>
        <w:spacing w:after="0"/>
      </w:pPr>
    </w:p>
    <w:p w:rsidR="00F81480" w:rsidRDefault="00F81480" w:rsidP="007E0EB4">
      <w:pPr>
        <w:spacing w:after="0"/>
      </w:pPr>
      <w:r>
        <w:t>An old version of the table for this Note was included in the document originally circulated. The correct version is shown below, again with any differences (other than rounding adjustments) highlighted.</w:t>
      </w:r>
    </w:p>
    <w:p w:rsidR="00F81480" w:rsidRDefault="00F81480" w:rsidP="007E0EB4">
      <w:pPr>
        <w:spacing w:after="0"/>
      </w:pPr>
    </w:p>
    <w:tbl>
      <w:tblPr>
        <w:tblW w:w="10220" w:type="dxa"/>
        <w:tblLook w:val="04A0" w:firstRow="1" w:lastRow="0" w:firstColumn="1" w:lastColumn="0" w:noHBand="0" w:noVBand="1"/>
      </w:tblPr>
      <w:tblGrid>
        <w:gridCol w:w="1500"/>
        <w:gridCol w:w="5970"/>
        <w:gridCol w:w="1250"/>
        <w:gridCol w:w="370"/>
        <w:gridCol w:w="1130"/>
      </w:tblGrid>
      <w:tr w:rsidR="0015157A" w:rsidRPr="0015157A" w:rsidTr="0015157A">
        <w:trPr>
          <w:trHeight w:val="42"/>
        </w:trPr>
        <w:tc>
          <w:tcPr>
            <w:tcW w:w="1500" w:type="dxa"/>
            <w:tcBorders>
              <w:top w:val="nil"/>
              <w:left w:val="nil"/>
              <w:bottom w:val="nil"/>
              <w:right w:val="nil"/>
            </w:tcBorders>
            <w:shd w:val="clear" w:color="auto" w:fill="auto"/>
            <w:noWrap/>
            <w:vAlign w:val="bottom"/>
            <w:hideMark/>
          </w:tcPr>
          <w:p w:rsidR="0015157A" w:rsidRPr="0015157A" w:rsidRDefault="0015157A" w:rsidP="0015157A">
            <w:pPr>
              <w:spacing w:after="0" w:line="240" w:lineRule="auto"/>
              <w:rPr>
                <w:rFonts w:ascii="Times New Roman" w:eastAsia="Times New Roman" w:hAnsi="Times New Roman" w:cs="Times New Roman"/>
                <w:sz w:val="24"/>
                <w:szCs w:val="24"/>
                <w:lang w:eastAsia="en-GB"/>
              </w:rPr>
            </w:pPr>
          </w:p>
        </w:tc>
        <w:tc>
          <w:tcPr>
            <w:tcW w:w="7220" w:type="dxa"/>
            <w:gridSpan w:val="2"/>
            <w:tcBorders>
              <w:top w:val="nil"/>
              <w:left w:val="nil"/>
              <w:bottom w:val="nil"/>
              <w:right w:val="nil"/>
            </w:tcBorders>
            <w:shd w:val="clear" w:color="auto" w:fill="auto"/>
            <w:noWrap/>
            <w:vAlign w:val="bottom"/>
            <w:hideMark/>
          </w:tcPr>
          <w:p w:rsidR="0015157A" w:rsidRPr="0015157A" w:rsidRDefault="0015157A" w:rsidP="0015157A">
            <w:pPr>
              <w:spacing w:after="0" w:line="240" w:lineRule="auto"/>
              <w:rPr>
                <w:rFonts w:ascii="Times New Roman" w:eastAsia="Times New Roman" w:hAnsi="Times New Roman" w:cs="Times New Roman"/>
                <w:sz w:val="20"/>
                <w:szCs w:val="20"/>
                <w:lang w:eastAsia="en-GB"/>
              </w:rPr>
            </w:pPr>
          </w:p>
        </w:tc>
        <w:tc>
          <w:tcPr>
            <w:tcW w:w="1500" w:type="dxa"/>
            <w:gridSpan w:val="2"/>
            <w:tcBorders>
              <w:top w:val="nil"/>
              <w:left w:val="nil"/>
              <w:bottom w:val="nil"/>
              <w:right w:val="nil"/>
            </w:tcBorders>
            <w:shd w:val="clear" w:color="auto" w:fill="auto"/>
            <w:noWrap/>
            <w:vAlign w:val="bottom"/>
            <w:hideMark/>
          </w:tcPr>
          <w:p w:rsidR="0015157A" w:rsidRPr="0015157A" w:rsidRDefault="0015157A" w:rsidP="0015157A">
            <w:pPr>
              <w:spacing w:after="0" w:line="240" w:lineRule="auto"/>
              <w:rPr>
                <w:rFonts w:ascii="Times New Roman" w:eastAsia="Times New Roman" w:hAnsi="Times New Roman" w:cs="Times New Roman"/>
                <w:sz w:val="20"/>
                <w:szCs w:val="20"/>
                <w:lang w:eastAsia="en-GB"/>
              </w:rPr>
            </w:pPr>
          </w:p>
        </w:tc>
      </w:tr>
      <w:tr w:rsidR="0015157A" w:rsidRPr="0015157A" w:rsidTr="0015157A">
        <w:trPr>
          <w:gridAfter w:val="1"/>
          <w:wAfter w:w="1130" w:type="dxa"/>
          <w:trHeight w:val="300"/>
        </w:trPr>
        <w:tc>
          <w:tcPr>
            <w:tcW w:w="1500" w:type="dxa"/>
            <w:tcBorders>
              <w:top w:val="single" w:sz="4" w:space="0" w:color="auto"/>
              <w:left w:val="single" w:sz="4" w:space="0" w:color="auto"/>
              <w:bottom w:val="nil"/>
              <w:right w:val="single" w:sz="4" w:space="0" w:color="auto"/>
            </w:tcBorders>
            <w:shd w:val="clear" w:color="000000" w:fill="B8CCE4"/>
            <w:vAlign w:val="center"/>
            <w:hideMark/>
          </w:tcPr>
          <w:p w:rsidR="0015157A" w:rsidRPr="0015157A" w:rsidRDefault="0015157A" w:rsidP="0015157A">
            <w:pPr>
              <w:spacing w:after="0" w:line="240" w:lineRule="auto"/>
              <w:jc w:val="center"/>
              <w:rPr>
                <w:rFonts w:ascii="Arial" w:eastAsia="Times New Roman" w:hAnsi="Arial" w:cs="Arial"/>
                <w:b/>
                <w:bCs/>
                <w:color w:val="000000"/>
                <w:lang w:eastAsia="en-GB"/>
              </w:rPr>
            </w:pPr>
            <w:r w:rsidRPr="0015157A">
              <w:rPr>
                <w:rFonts w:ascii="Arial" w:eastAsia="Times New Roman" w:hAnsi="Arial" w:cs="Arial"/>
                <w:b/>
                <w:bCs/>
                <w:color w:val="000000"/>
                <w:lang w:eastAsia="en-GB"/>
              </w:rPr>
              <w:t>2017/18</w:t>
            </w:r>
          </w:p>
        </w:tc>
        <w:tc>
          <w:tcPr>
            <w:tcW w:w="5970" w:type="dxa"/>
            <w:tcBorders>
              <w:top w:val="single" w:sz="4" w:space="0" w:color="auto"/>
              <w:left w:val="nil"/>
              <w:bottom w:val="nil"/>
              <w:right w:val="single" w:sz="4" w:space="0" w:color="auto"/>
            </w:tcBorders>
            <w:shd w:val="clear" w:color="000000" w:fill="B8CCE4"/>
            <w:vAlign w:val="center"/>
            <w:hideMark/>
          </w:tcPr>
          <w:p w:rsidR="0015157A" w:rsidRPr="0015157A" w:rsidRDefault="0015157A" w:rsidP="0015157A">
            <w:pPr>
              <w:spacing w:after="0" w:line="240" w:lineRule="auto"/>
              <w:jc w:val="center"/>
              <w:rPr>
                <w:rFonts w:ascii="Arial" w:eastAsia="Times New Roman" w:hAnsi="Arial" w:cs="Arial"/>
                <w:b/>
                <w:bCs/>
                <w:color w:val="000000"/>
                <w:lang w:eastAsia="en-GB"/>
              </w:rPr>
            </w:pPr>
            <w:r w:rsidRPr="0015157A">
              <w:rPr>
                <w:rFonts w:ascii="Arial" w:eastAsia="Times New Roman" w:hAnsi="Arial" w:cs="Arial"/>
                <w:b/>
                <w:bCs/>
                <w:color w:val="000000"/>
                <w:lang w:eastAsia="en-GB"/>
              </w:rPr>
              <w:t> </w:t>
            </w:r>
          </w:p>
        </w:tc>
        <w:tc>
          <w:tcPr>
            <w:tcW w:w="1620" w:type="dxa"/>
            <w:gridSpan w:val="2"/>
            <w:tcBorders>
              <w:top w:val="single" w:sz="4" w:space="0" w:color="auto"/>
              <w:left w:val="nil"/>
              <w:bottom w:val="nil"/>
              <w:right w:val="single" w:sz="4" w:space="0" w:color="auto"/>
            </w:tcBorders>
            <w:shd w:val="clear" w:color="000000" w:fill="B8CCE4"/>
            <w:vAlign w:val="center"/>
            <w:hideMark/>
          </w:tcPr>
          <w:p w:rsidR="0015157A" w:rsidRPr="0015157A" w:rsidRDefault="0015157A" w:rsidP="0015157A">
            <w:pPr>
              <w:spacing w:after="0" w:line="240" w:lineRule="auto"/>
              <w:jc w:val="center"/>
              <w:rPr>
                <w:rFonts w:ascii="Arial" w:eastAsia="Times New Roman" w:hAnsi="Arial" w:cs="Arial"/>
                <w:b/>
                <w:bCs/>
                <w:color w:val="000000"/>
                <w:lang w:eastAsia="en-GB"/>
              </w:rPr>
            </w:pPr>
            <w:r w:rsidRPr="0015157A">
              <w:rPr>
                <w:rFonts w:ascii="Arial" w:eastAsia="Times New Roman" w:hAnsi="Arial" w:cs="Arial"/>
                <w:b/>
                <w:bCs/>
                <w:color w:val="000000"/>
                <w:lang w:eastAsia="en-GB"/>
              </w:rPr>
              <w:t>2018/19</w:t>
            </w:r>
          </w:p>
        </w:tc>
      </w:tr>
      <w:tr w:rsidR="0015157A" w:rsidRPr="0015157A" w:rsidTr="0015157A">
        <w:trPr>
          <w:gridAfter w:val="1"/>
          <w:wAfter w:w="1130" w:type="dxa"/>
          <w:trHeight w:val="300"/>
        </w:trPr>
        <w:tc>
          <w:tcPr>
            <w:tcW w:w="1500" w:type="dxa"/>
            <w:tcBorders>
              <w:top w:val="nil"/>
              <w:left w:val="single" w:sz="4" w:space="0" w:color="auto"/>
              <w:bottom w:val="single" w:sz="4" w:space="0" w:color="auto"/>
              <w:right w:val="single" w:sz="4" w:space="0" w:color="auto"/>
            </w:tcBorders>
            <w:shd w:val="clear" w:color="000000" w:fill="B8CCE4"/>
            <w:vAlign w:val="center"/>
            <w:hideMark/>
          </w:tcPr>
          <w:p w:rsidR="0015157A" w:rsidRPr="0015157A" w:rsidRDefault="0015157A" w:rsidP="0015157A">
            <w:pPr>
              <w:spacing w:after="0" w:line="240" w:lineRule="auto"/>
              <w:jc w:val="center"/>
              <w:rPr>
                <w:rFonts w:ascii="Arial" w:eastAsia="Times New Roman" w:hAnsi="Arial" w:cs="Arial"/>
                <w:b/>
                <w:bCs/>
                <w:color w:val="000000"/>
                <w:lang w:eastAsia="en-GB"/>
              </w:rPr>
            </w:pPr>
            <w:r w:rsidRPr="0015157A">
              <w:rPr>
                <w:rFonts w:ascii="Arial" w:eastAsia="Times New Roman" w:hAnsi="Arial" w:cs="Arial"/>
                <w:b/>
                <w:bCs/>
                <w:color w:val="000000"/>
                <w:lang w:eastAsia="en-GB"/>
              </w:rPr>
              <w:t>£’000</w:t>
            </w:r>
          </w:p>
        </w:tc>
        <w:tc>
          <w:tcPr>
            <w:tcW w:w="5970" w:type="dxa"/>
            <w:tcBorders>
              <w:top w:val="nil"/>
              <w:left w:val="nil"/>
              <w:bottom w:val="single" w:sz="4" w:space="0" w:color="auto"/>
              <w:right w:val="single" w:sz="4" w:space="0" w:color="auto"/>
            </w:tcBorders>
            <w:shd w:val="clear" w:color="000000" w:fill="B8CCE4"/>
            <w:vAlign w:val="center"/>
            <w:hideMark/>
          </w:tcPr>
          <w:p w:rsidR="0015157A" w:rsidRPr="0015157A" w:rsidRDefault="0015157A" w:rsidP="0015157A">
            <w:pPr>
              <w:spacing w:after="0" w:line="240" w:lineRule="auto"/>
              <w:jc w:val="center"/>
              <w:rPr>
                <w:rFonts w:ascii="Arial" w:eastAsia="Times New Roman" w:hAnsi="Arial" w:cs="Arial"/>
                <w:b/>
                <w:bCs/>
                <w:color w:val="000000"/>
                <w:lang w:eastAsia="en-GB"/>
              </w:rPr>
            </w:pPr>
            <w:r w:rsidRPr="0015157A">
              <w:rPr>
                <w:rFonts w:ascii="Arial" w:eastAsia="Times New Roman" w:hAnsi="Arial" w:cs="Arial"/>
                <w:b/>
                <w:bCs/>
                <w:color w:val="000000"/>
                <w:lang w:eastAsia="en-GB"/>
              </w:rPr>
              <w:t> </w:t>
            </w:r>
          </w:p>
        </w:tc>
        <w:tc>
          <w:tcPr>
            <w:tcW w:w="1620" w:type="dxa"/>
            <w:gridSpan w:val="2"/>
            <w:tcBorders>
              <w:top w:val="nil"/>
              <w:left w:val="nil"/>
              <w:bottom w:val="single" w:sz="4" w:space="0" w:color="auto"/>
              <w:right w:val="single" w:sz="4" w:space="0" w:color="auto"/>
            </w:tcBorders>
            <w:shd w:val="clear" w:color="000000" w:fill="B8CCE4"/>
            <w:vAlign w:val="center"/>
            <w:hideMark/>
          </w:tcPr>
          <w:p w:rsidR="0015157A" w:rsidRPr="0015157A" w:rsidRDefault="0015157A" w:rsidP="0015157A">
            <w:pPr>
              <w:spacing w:after="0" w:line="240" w:lineRule="auto"/>
              <w:jc w:val="center"/>
              <w:rPr>
                <w:rFonts w:ascii="Arial" w:eastAsia="Times New Roman" w:hAnsi="Arial" w:cs="Arial"/>
                <w:b/>
                <w:bCs/>
                <w:color w:val="000000"/>
                <w:lang w:eastAsia="en-GB"/>
              </w:rPr>
            </w:pPr>
            <w:r w:rsidRPr="0015157A">
              <w:rPr>
                <w:rFonts w:ascii="Arial" w:eastAsia="Times New Roman" w:hAnsi="Arial" w:cs="Arial"/>
                <w:b/>
                <w:bCs/>
                <w:color w:val="000000"/>
                <w:lang w:eastAsia="en-GB"/>
              </w:rPr>
              <w:t>£’000</w:t>
            </w:r>
          </w:p>
        </w:tc>
      </w:tr>
      <w:tr w:rsidR="0015157A" w:rsidRPr="0015157A" w:rsidTr="0015157A">
        <w:trPr>
          <w:gridAfter w:val="1"/>
          <w:wAfter w:w="1130" w:type="dxa"/>
          <w:trHeight w:val="390"/>
        </w:trPr>
        <w:tc>
          <w:tcPr>
            <w:tcW w:w="1500" w:type="dxa"/>
            <w:tcBorders>
              <w:top w:val="nil"/>
              <w:left w:val="single" w:sz="4" w:space="0" w:color="auto"/>
              <w:bottom w:val="single" w:sz="4" w:space="0" w:color="BFBFBF"/>
              <w:right w:val="single" w:sz="4" w:space="0" w:color="BFBFBF"/>
            </w:tcBorders>
            <w:shd w:val="clear" w:color="auto" w:fill="auto"/>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138</w:t>
            </w:r>
          </w:p>
        </w:tc>
        <w:tc>
          <w:tcPr>
            <w:tcW w:w="5970" w:type="dxa"/>
            <w:tcBorders>
              <w:top w:val="nil"/>
              <w:left w:val="nil"/>
              <w:bottom w:val="single" w:sz="4" w:space="0" w:color="BFBFBF"/>
              <w:right w:val="single" w:sz="4" w:space="0" w:color="BFBFBF"/>
            </w:tcBorders>
            <w:shd w:val="clear" w:color="auto" w:fill="auto"/>
            <w:vAlign w:val="center"/>
            <w:hideMark/>
          </w:tcPr>
          <w:p w:rsidR="0015157A" w:rsidRPr="0015157A" w:rsidRDefault="0015157A" w:rsidP="0015157A">
            <w:pPr>
              <w:spacing w:after="0" w:line="240" w:lineRule="auto"/>
              <w:jc w:val="both"/>
              <w:rPr>
                <w:rFonts w:ascii="Arial" w:eastAsia="Times New Roman" w:hAnsi="Arial" w:cs="Arial"/>
                <w:color w:val="000000"/>
                <w:lang w:eastAsia="en-GB"/>
              </w:rPr>
            </w:pPr>
            <w:r w:rsidRPr="0015157A">
              <w:rPr>
                <w:rFonts w:ascii="Arial" w:eastAsia="Times New Roman" w:hAnsi="Arial" w:cs="Arial"/>
                <w:color w:val="000000"/>
                <w:lang w:eastAsia="en-GB"/>
              </w:rPr>
              <w:t>Interest payable and similar charges</w:t>
            </w:r>
          </w:p>
        </w:tc>
        <w:tc>
          <w:tcPr>
            <w:tcW w:w="1620" w:type="dxa"/>
            <w:gridSpan w:val="2"/>
            <w:tcBorders>
              <w:top w:val="nil"/>
              <w:left w:val="nil"/>
              <w:bottom w:val="single" w:sz="4" w:space="0" w:color="BFBFBF"/>
              <w:right w:val="single" w:sz="4" w:space="0" w:color="auto"/>
            </w:tcBorders>
            <w:shd w:val="clear" w:color="auto" w:fill="FFFF00"/>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137</w:t>
            </w:r>
          </w:p>
        </w:tc>
      </w:tr>
      <w:tr w:rsidR="0015157A" w:rsidRPr="0015157A" w:rsidTr="0015157A">
        <w:trPr>
          <w:gridAfter w:val="1"/>
          <w:wAfter w:w="1130" w:type="dxa"/>
          <w:trHeight w:val="390"/>
        </w:trPr>
        <w:tc>
          <w:tcPr>
            <w:tcW w:w="1500" w:type="dxa"/>
            <w:tcBorders>
              <w:top w:val="nil"/>
              <w:left w:val="single" w:sz="4" w:space="0" w:color="auto"/>
              <w:bottom w:val="single" w:sz="4" w:space="0" w:color="BFBFBF"/>
              <w:right w:val="single" w:sz="4" w:space="0" w:color="BFBFBF"/>
            </w:tcBorders>
            <w:shd w:val="clear" w:color="auto" w:fill="auto"/>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888</w:t>
            </w:r>
          </w:p>
        </w:tc>
        <w:tc>
          <w:tcPr>
            <w:tcW w:w="5970" w:type="dxa"/>
            <w:tcBorders>
              <w:top w:val="nil"/>
              <w:left w:val="nil"/>
              <w:bottom w:val="single" w:sz="4" w:space="0" w:color="BFBFBF"/>
              <w:right w:val="single" w:sz="4" w:space="0" w:color="BFBFBF"/>
            </w:tcBorders>
            <w:shd w:val="clear" w:color="auto" w:fill="auto"/>
            <w:vAlign w:val="center"/>
            <w:hideMark/>
          </w:tcPr>
          <w:p w:rsidR="0015157A" w:rsidRPr="0015157A" w:rsidRDefault="0015157A" w:rsidP="0015157A">
            <w:pPr>
              <w:spacing w:after="0" w:line="240" w:lineRule="auto"/>
              <w:jc w:val="both"/>
              <w:rPr>
                <w:rFonts w:ascii="Arial" w:eastAsia="Times New Roman" w:hAnsi="Arial" w:cs="Arial"/>
                <w:color w:val="000000"/>
                <w:lang w:eastAsia="en-GB"/>
              </w:rPr>
            </w:pPr>
            <w:r w:rsidRPr="0015157A">
              <w:rPr>
                <w:rFonts w:ascii="Arial" w:eastAsia="Times New Roman" w:hAnsi="Arial" w:cs="Arial"/>
                <w:color w:val="000000"/>
                <w:lang w:eastAsia="en-GB"/>
              </w:rPr>
              <w:t>Net interest on the net defined benefit liability (note 37)</w:t>
            </w:r>
          </w:p>
        </w:tc>
        <w:tc>
          <w:tcPr>
            <w:tcW w:w="1620" w:type="dxa"/>
            <w:gridSpan w:val="2"/>
            <w:tcBorders>
              <w:top w:val="nil"/>
              <w:left w:val="nil"/>
              <w:bottom w:val="single" w:sz="4" w:space="0" w:color="BFBFBF"/>
              <w:right w:val="single" w:sz="4" w:space="0" w:color="auto"/>
            </w:tcBorders>
            <w:shd w:val="clear" w:color="auto" w:fill="auto"/>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809</w:t>
            </w:r>
          </w:p>
        </w:tc>
      </w:tr>
      <w:tr w:rsidR="0015157A" w:rsidRPr="0015157A" w:rsidTr="0015157A">
        <w:trPr>
          <w:gridAfter w:val="1"/>
          <w:wAfter w:w="1130" w:type="dxa"/>
          <w:trHeight w:val="390"/>
        </w:trPr>
        <w:tc>
          <w:tcPr>
            <w:tcW w:w="1500" w:type="dxa"/>
            <w:tcBorders>
              <w:top w:val="nil"/>
              <w:left w:val="single" w:sz="4" w:space="0" w:color="auto"/>
              <w:bottom w:val="single" w:sz="4" w:space="0" w:color="BFBFBF"/>
              <w:right w:val="single" w:sz="4" w:space="0" w:color="BFBFBF"/>
            </w:tcBorders>
            <w:shd w:val="clear" w:color="auto" w:fill="auto"/>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(180)</w:t>
            </w:r>
          </w:p>
        </w:tc>
        <w:tc>
          <w:tcPr>
            <w:tcW w:w="5970" w:type="dxa"/>
            <w:tcBorders>
              <w:top w:val="nil"/>
              <w:left w:val="nil"/>
              <w:bottom w:val="single" w:sz="4" w:space="0" w:color="BFBFBF"/>
              <w:right w:val="single" w:sz="4" w:space="0" w:color="BFBFBF"/>
            </w:tcBorders>
            <w:shd w:val="clear" w:color="auto" w:fill="auto"/>
            <w:vAlign w:val="center"/>
            <w:hideMark/>
          </w:tcPr>
          <w:p w:rsidR="0015157A" w:rsidRPr="0015157A" w:rsidRDefault="0015157A" w:rsidP="0015157A">
            <w:pPr>
              <w:spacing w:after="0" w:line="240" w:lineRule="auto"/>
              <w:jc w:val="both"/>
              <w:rPr>
                <w:rFonts w:ascii="Arial" w:eastAsia="Times New Roman" w:hAnsi="Arial" w:cs="Arial"/>
                <w:color w:val="000000"/>
                <w:lang w:eastAsia="en-GB"/>
              </w:rPr>
            </w:pPr>
            <w:r w:rsidRPr="0015157A">
              <w:rPr>
                <w:rFonts w:ascii="Arial" w:eastAsia="Times New Roman" w:hAnsi="Arial" w:cs="Arial"/>
                <w:color w:val="000000"/>
                <w:lang w:eastAsia="en-GB"/>
              </w:rPr>
              <w:t>Interest receivable and similar income</w:t>
            </w:r>
          </w:p>
        </w:tc>
        <w:tc>
          <w:tcPr>
            <w:tcW w:w="1620" w:type="dxa"/>
            <w:gridSpan w:val="2"/>
            <w:tcBorders>
              <w:top w:val="nil"/>
              <w:left w:val="nil"/>
              <w:bottom w:val="single" w:sz="4" w:space="0" w:color="BFBFBF"/>
              <w:right w:val="single" w:sz="4" w:space="0" w:color="auto"/>
            </w:tcBorders>
            <w:shd w:val="clear" w:color="auto" w:fill="auto"/>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(312)</w:t>
            </w:r>
          </w:p>
        </w:tc>
      </w:tr>
      <w:tr w:rsidR="0015157A" w:rsidRPr="0015157A" w:rsidTr="0015157A">
        <w:trPr>
          <w:gridAfter w:val="1"/>
          <w:wAfter w:w="1130" w:type="dxa"/>
          <w:trHeight w:val="600"/>
        </w:trPr>
        <w:tc>
          <w:tcPr>
            <w:tcW w:w="1500" w:type="dxa"/>
            <w:tcBorders>
              <w:top w:val="nil"/>
              <w:left w:val="single" w:sz="4" w:space="0" w:color="auto"/>
              <w:bottom w:val="single" w:sz="4" w:space="0" w:color="BFBFBF"/>
              <w:right w:val="single" w:sz="4" w:space="0" w:color="BFBFBF"/>
            </w:tcBorders>
            <w:shd w:val="clear" w:color="auto" w:fill="auto"/>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(291)</w:t>
            </w:r>
          </w:p>
        </w:tc>
        <w:tc>
          <w:tcPr>
            <w:tcW w:w="5970" w:type="dxa"/>
            <w:tcBorders>
              <w:top w:val="nil"/>
              <w:left w:val="nil"/>
              <w:bottom w:val="single" w:sz="4" w:space="0" w:color="BFBFBF"/>
              <w:right w:val="single" w:sz="4" w:space="0" w:color="BFBFBF"/>
            </w:tcBorders>
            <w:shd w:val="clear" w:color="auto" w:fill="auto"/>
            <w:vAlign w:val="center"/>
            <w:hideMark/>
          </w:tcPr>
          <w:p w:rsidR="0015157A" w:rsidRPr="0015157A" w:rsidRDefault="0015157A" w:rsidP="0015157A">
            <w:pPr>
              <w:spacing w:after="0" w:line="240" w:lineRule="auto"/>
              <w:jc w:val="both"/>
              <w:rPr>
                <w:rFonts w:ascii="Arial" w:eastAsia="Times New Roman" w:hAnsi="Arial" w:cs="Arial"/>
                <w:color w:val="000000"/>
                <w:lang w:eastAsia="en-GB"/>
              </w:rPr>
            </w:pPr>
            <w:r w:rsidRPr="0015157A">
              <w:rPr>
                <w:rFonts w:ascii="Arial" w:eastAsia="Times New Roman" w:hAnsi="Arial" w:cs="Arial"/>
                <w:color w:val="000000"/>
                <w:lang w:eastAsia="en-GB"/>
              </w:rPr>
              <w:t>Income and Expenditure in relation to investment properties and changes in their fair value (note 16)</w:t>
            </w:r>
          </w:p>
        </w:tc>
        <w:tc>
          <w:tcPr>
            <w:tcW w:w="1620" w:type="dxa"/>
            <w:gridSpan w:val="2"/>
            <w:tcBorders>
              <w:top w:val="nil"/>
              <w:left w:val="nil"/>
              <w:bottom w:val="single" w:sz="4" w:space="0" w:color="BFBFBF"/>
              <w:right w:val="single" w:sz="4" w:space="0" w:color="auto"/>
            </w:tcBorders>
            <w:shd w:val="clear" w:color="auto" w:fill="auto"/>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701</w:t>
            </w:r>
          </w:p>
        </w:tc>
      </w:tr>
      <w:tr w:rsidR="0015157A" w:rsidRPr="0015157A" w:rsidTr="0015157A">
        <w:trPr>
          <w:gridAfter w:val="1"/>
          <w:wAfter w:w="1130" w:type="dxa"/>
          <w:trHeight w:val="390"/>
        </w:trPr>
        <w:tc>
          <w:tcPr>
            <w:tcW w:w="1500" w:type="dxa"/>
            <w:tcBorders>
              <w:top w:val="nil"/>
              <w:left w:val="single" w:sz="4" w:space="0" w:color="auto"/>
              <w:bottom w:val="nil"/>
              <w:right w:val="single" w:sz="4" w:space="0" w:color="BFBFBF"/>
            </w:tcBorders>
            <w:shd w:val="clear" w:color="auto" w:fill="auto"/>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182</w:t>
            </w:r>
          </w:p>
        </w:tc>
        <w:tc>
          <w:tcPr>
            <w:tcW w:w="5970" w:type="dxa"/>
            <w:tcBorders>
              <w:top w:val="nil"/>
              <w:left w:val="nil"/>
              <w:bottom w:val="nil"/>
              <w:right w:val="single" w:sz="4" w:space="0" w:color="BFBFBF"/>
            </w:tcBorders>
            <w:shd w:val="clear" w:color="auto" w:fill="auto"/>
            <w:vAlign w:val="center"/>
            <w:hideMark/>
          </w:tcPr>
          <w:p w:rsidR="0015157A" w:rsidRPr="0015157A" w:rsidRDefault="0015157A" w:rsidP="0015157A">
            <w:pPr>
              <w:spacing w:after="0" w:line="240" w:lineRule="auto"/>
              <w:jc w:val="both"/>
              <w:rPr>
                <w:rFonts w:ascii="Arial" w:eastAsia="Times New Roman" w:hAnsi="Arial" w:cs="Arial"/>
                <w:color w:val="000000"/>
                <w:lang w:eastAsia="en-GB"/>
              </w:rPr>
            </w:pPr>
            <w:r w:rsidRPr="0015157A">
              <w:rPr>
                <w:rFonts w:ascii="Arial" w:eastAsia="Times New Roman" w:hAnsi="Arial" w:cs="Arial"/>
                <w:color w:val="000000"/>
                <w:lang w:eastAsia="en-GB"/>
              </w:rPr>
              <w:t>Allowance for impairment of outstanding debts*</w:t>
            </w:r>
          </w:p>
        </w:tc>
        <w:tc>
          <w:tcPr>
            <w:tcW w:w="1620" w:type="dxa"/>
            <w:gridSpan w:val="2"/>
            <w:tcBorders>
              <w:top w:val="nil"/>
              <w:left w:val="nil"/>
              <w:bottom w:val="nil"/>
              <w:right w:val="single" w:sz="4" w:space="0" w:color="auto"/>
            </w:tcBorders>
            <w:shd w:val="clear" w:color="auto" w:fill="auto"/>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269</w:t>
            </w:r>
          </w:p>
        </w:tc>
      </w:tr>
      <w:tr w:rsidR="0015157A" w:rsidRPr="0015157A" w:rsidTr="0015157A">
        <w:trPr>
          <w:gridAfter w:val="1"/>
          <w:wAfter w:w="1130" w:type="dxa"/>
          <w:trHeight w:val="390"/>
        </w:trPr>
        <w:tc>
          <w:tcPr>
            <w:tcW w:w="1500" w:type="dxa"/>
            <w:tcBorders>
              <w:top w:val="single" w:sz="4" w:space="0" w:color="BFBFBF"/>
              <w:left w:val="single" w:sz="4" w:space="0" w:color="auto"/>
              <w:bottom w:val="single" w:sz="4" w:space="0" w:color="auto"/>
              <w:right w:val="single" w:sz="4" w:space="0" w:color="BFBFBF"/>
            </w:tcBorders>
            <w:shd w:val="clear" w:color="auto" w:fill="auto"/>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(771)</w:t>
            </w:r>
          </w:p>
        </w:tc>
        <w:tc>
          <w:tcPr>
            <w:tcW w:w="5970" w:type="dxa"/>
            <w:tcBorders>
              <w:top w:val="single" w:sz="4" w:space="0" w:color="BFBFBF"/>
              <w:left w:val="nil"/>
              <w:bottom w:val="single" w:sz="4" w:space="0" w:color="auto"/>
              <w:right w:val="single" w:sz="4" w:space="0" w:color="BFBFBF"/>
            </w:tcBorders>
            <w:shd w:val="clear" w:color="auto" w:fill="auto"/>
            <w:vAlign w:val="center"/>
            <w:hideMark/>
          </w:tcPr>
          <w:p w:rsidR="0015157A" w:rsidRPr="0015157A" w:rsidRDefault="0015157A" w:rsidP="0015157A">
            <w:pPr>
              <w:spacing w:after="0" w:line="240" w:lineRule="auto"/>
              <w:jc w:val="both"/>
              <w:rPr>
                <w:rFonts w:ascii="Arial" w:eastAsia="Times New Roman" w:hAnsi="Arial" w:cs="Arial"/>
                <w:color w:val="000000"/>
                <w:lang w:eastAsia="en-GB"/>
              </w:rPr>
            </w:pPr>
            <w:r w:rsidRPr="0015157A">
              <w:rPr>
                <w:rFonts w:ascii="Arial" w:eastAsia="Times New Roman" w:hAnsi="Arial" w:cs="Arial"/>
                <w:color w:val="000000"/>
                <w:lang w:eastAsia="en-GB"/>
              </w:rPr>
              <w:t>Losses or (surplus) on trading accounts (note 29)</w:t>
            </w:r>
          </w:p>
        </w:tc>
        <w:tc>
          <w:tcPr>
            <w:tcW w:w="1620" w:type="dxa"/>
            <w:gridSpan w:val="2"/>
            <w:tcBorders>
              <w:top w:val="single" w:sz="4" w:space="0" w:color="BFBFBF"/>
              <w:left w:val="nil"/>
              <w:bottom w:val="single" w:sz="4" w:space="0" w:color="auto"/>
              <w:right w:val="single" w:sz="4" w:space="0" w:color="auto"/>
            </w:tcBorders>
            <w:shd w:val="clear" w:color="auto" w:fill="FFFF00"/>
            <w:vAlign w:val="center"/>
            <w:hideMark/>
          </w:tcPr>
          <w:p w:rsidR="0015157A" w:rsidRPr="0015157A" w:rsidRDefault="0015157A" w:rsidP="0015157A">
            <w:pPr>
              <w:spacing w:after="0" w:line="240" w:lineRule="auto"/>
              <w:jc w:val="right"/>
              <w:rPr>
                <w:rFonts w:ascii="Arial" w:eastAsia="Times New Roman" w:hAnsi="Arial" w:cs="Arial"/>
                <w:color w:val="000000"/>
                <w:lang w:eastAsia="en-GB"/>
              </w:rPr>
            </w:pPr>
            <w:r w:rsidRPr="0015157A">
              <w:rPr>
                <w:rFonts w:ascii="Arial" w:eastAsia="Times New Roman" w:hAnsi="Arial" w:cs="Arial"/>
                <w:color w:val="000000"/>
                <w:lang w:eastAsia="en-GB"/>
              </w:rPr>
              <w:t>(767)</w:t>
            </w:r>
          </w:p>
        </w:tc>
      </w:tr>
      <w:tr w:rsidR="0015157A" w:rsidRPr="0015157A" w:rsidTr="0015157A">
        <w:trPr>
          <w:gridAfter w:val="1"/>
          <w:wAfter w:w="1130" w:type="dxa"/>
          <w:trHeight w:val="390"/>
        </w:trPr>
        <w:tc>
          <w:tcPr>
            <w:tcW w:w="1500" w:type="dxa"/>
            <w:tcBorders>
              <w:top w:val="nil"/>
              <w:left w:val="single" w:sz="4" w:space="0" w:color="auto"/>
              <w:bottom w:val="single" w:sz="4" w:space="0" w:color="auto"/>
              <w:right w:val="single" w:sz="4" w:space="0" w:color="BFBFBF"/>
            </w:tcBorders>
            <w:shd w:val="clear" w:color="000000" w:fill="D9D9D9"/>
            <w:vAlign w:val="center"/>
            <w:hideMark/>
          </w:tcPr>
          <w:p w:rsidR="0015157A" w:rsidRPr="0015157A" w:rsidRDefault="0015157A" w:rsidP="0015157A">
            <w:pPr>
              <w:spacing w:after="0" w:line="240" w:lineRule="auto"/>
              <w:jc w:val="right"/>
              <w:rPr>
                <w:rFonts w:ascii="Arial" w:eastAsia="Times New Roman" w:hAnsi="Arial" w:cs="Arial"/>
                <w:b/>
                <w:bCs/>
                <w:color w:val="000000"/>
                <w:lang w:eastAsia="en-GB"/>
              </w:rPr>
            </w:pPr>
            <w:r w:rsidRPr="0015157A">
              <w:rPr>
                <w:rFonts w:ascii="Arial" w:eastAsia="Times New Roman" w:hAnsi="Arial" w:cs="Arial"/>
                <w:b/>
                <w:bCs/>
                <w:color w:val="000000"/>
                <w:lang w:eastAsia="en-GB"/>
              </w:rPr>
              <w:t>(34)</w:t>
            </w:r>
          </w:p>
        </w:tc>
        <w:tc>
          <w:tcPr>
            <w:tcW w:w="5970" w:type="dxa"/>
            <w:tcBorders>
              <w:top w:val="nil"/>
              <w:left w:val="nil"/>
              <w:bottom w:val="single" w:sz="4" w:space="0" w:color="auto"/>
              <w:right w:val="single" w:sz="4" w:space="0" w:color="BFBFBF"/>
            </w:tcBorders>
            <w:shd w:val="clear" w:color="000000" w:fill="D9D9D9"/>
            <w:vAlign w:val="center"/>
            <w:hideMark/>
          </w:tcPr>
          <w:p w:rsidR="0015157A" w:rsidRPr="0015157A" w:rsidRDefault="0015157A" w:rsidP="0015157A">
            <w:pPr>
              <w:spacing w:after="0" w:line="240" w:lineRule="auto"/>
              <w:jc w:val="both"/>
              <w:rPr>
                <w:rFonts w:ascii="Arial" w:eastAsia="Times New Roman" w:hAnsi="Arial" w:cs="Arial"/>
                <w:b/>
                <w:bCs/>
                <w:color w:val="000000"/>
                <w:lang w:eastAsia="en-GB"/>
              </w:rPr>
            </w:pPr>
            <w:r w:rsidRPr="0015157A">
              <w:rPr>
                <w:rFonts w:ascii="Arial" w:eastAsia="Times New Roman" w:hAnsi="Arial" w:cs="Arial"/>
                <w:b/>
                <w:bCs/>
                <w:color w:val="000000"/>
                <w:lang w:eastAsia="en-GB"/>
              </w:rPr>
              <w:t>Total</w:t>
            </w:r>
          </w:p>
        </w:tc>
        <w:tc>
          <w:tcPr>
            <w:tcW w:w="1620" w:type="dxa"/>
            <w:gridSpan w:val="2"/>
            <w:tcBorders>
              <w:top w:val="nil"/>
              <w:left w:val="nil"/>
              <w:bottom w:val="single" w:sz="4" w:space="0" w:color="auto"/>
              <w:right w:val="single" w:sz="4" w:space="0" w:color="auto"/>
            </w:tcBorders>
            <w:shd w:val="clear" w:color="auto" w:fill="FFFF00"/>
            <w:vAlign w:val="center"/>
            <w:hideMark/>
          </w:tcPr>
          <w:p w:rsidR="0015157A" w:rsidRPr="0015157A" w:rsidRDefault="0015157A" w:rsidP="0015157A">
            <w:pPr>
              <w:spacing w:after="0" w:line="240" w:lineRule="auto"/>
              <w:jc w:val="right"/>
              <w:rPr>
                <w:rFonts w:ascii="Arial" w:eastAsia="Times New Roman" w:hAnsi="Arial" w:cs="Arial"/>
                <w:b/>
                <w:bCs/>
                <w:color w:val="000000"/>
                <w:lang w:eastAsia="en-GB"/>
              </w:rPr>
            </w:pPr>
            <w:r w:rsidRPr="0015157A">
              <w:rPr>
                <w:rFonts w:ascii="Arial" w:eastAsia="Times New Roman" w:hAnsi="Arial" w:cs="Arial"/>
                <w:b/>
                <w:bCs/>
                <w:color w:val="000000"/>
                <w:lang w:eastAsia="en-GB"/>
              </w:rPr>
              <w:t>837</w:t>
            </w:r>
          </w:p>
        </w:tc>
      </w:tr>
    </w:tbl>
    <w:p w:rsidR="00F81480" w:rsidRDefault="00F81480" w:rsidP="007E0EB4">
      <w:pPr>
        <w:spacing w:after="0"/>
      </w:pPr>
    </w:p>
    <w:p w:rsidR="00F81480" w:rsidRDefault="00F81480" w:rsidP="007E0EB4">
      <w:pPr>
        <w:spacing w:after="0"/>
      </w:pPr>
    </w:p>
    <w:p w:rsidR="00045464" w:rsidRPr="00045464" w:rsidRDefault="00045464" w:rsidP="007E0EB4">
      <w:pPr>
        <w:spacing w:after="0"/>
        <w:rPr>
          <w:b/>
        </w:rPr>
      </w:pPr>
      <w:r w:rsidRPr="00045464">
        <w:rPr>
          <w:b/>
        </w:rPr>
        <w:t>3.</w:t>
      </w:r>
      <w:r w:rsidRPr="00045464">
        <w:rPr>
          <w:b/>
        </w:rPr>
        <w:tab/>
        <w:t>NARRATIVE REPORT: CORPORATE PLAN AND PERFORMANCE 2018/19</w:t>
      </w:r>
    </w:p>
    <w:p w:rsidR="00045464" w:rsidRDefault="00045464" w:rsidP="007E0EB4">
      <w:pPr>
        <w:spacing w:after="0"/>
      </w:pPr>
    </w:p>
    <w:p w:rsidR="00045464" w:rsidRDefault="00045464" w:rsidP="007E0EB4">
      <w:pPr>
        <w:spacing w:after="0"/>
      </w:pPr>
      <w:r>
        <w:t>Further review of the overall balance between the sections of the Report suggested that a disproportionate weight of material had been included in this particular section. A revised format has been produced, with the level of detail and the number of individual tables reduced and reference made that the fuller version will be available when the annual Performance Report is subsequently published. The intention is that this will give more equal weight and prominence to the other information included, while retaining sufficient</w:t>
      </w:r>
      <w:r w:rsidR="009E6BA4">
        <w:t xml:space="preserve"> detail</w:t>
      </w:r>
      <w:r>
        <w:t xml:space="preserve"> to maintain the overall substance of the </w:t>
      </w:r>
      <w:r w:rsidR="009E6BA4">
        <w:t>corporate overview provided by the report.</w:t>
      </w:r>
    </w:p>
    <w:p w:rsidR="009E6BA4" w:rsidRPr="009E6BA4" w:rsidRDefault="009E6BA4" w:rsidP="009E6BA4">
      <w:pPr>
        <w:spacing w:after="0"/>
      </w:pPr>
    </w:p>
    <w:p w:rsidR="009E6BA4" w:rsidRPr="009E6BA4" w:rsidRDefault="009E6BA4" w:rsidP="009E6BA4">
      <w:pPr>
        <w:spacing w:after="0"/>
      </w:pPr>
      <w:r w:rsidRPr="009E6BA4">
        <w:t>The revised content is shown below.</w:t>
      </w:r>
    </w:p>
    <w:p w:rsidR="009E6BA4" w:rsidRPr="009E6BA4" w:rsidRDefault="009E6BA4" w:rsidP="009E6BA4">
      <w:pPr>
        <w:spacing w:after="0"/>
      </w:pPr>
    </w:p>
    <w:p w:rsidR="009E6BA4" w:rsidRDefault="009E6BA4">
      <w:pPr>
        <w:rPr>
          <w:b/>
          <w:i/>
          <w:noProof/>
        </w:rPr>
      </w:pPr>
      <w:r>
        <w:rPr>
          <w:b/>
          <w:i/>
          <w:noProof/>
        </w:rPr>
        <w:br w:type="page"/>
      </w:r>
    </w:p>
    <w:p w:rsidR="009E6BA4" w:rsidRPr="009E6BA4" w:rsidRDefault="009E6BA4" w:rsidP="009E6BA4">
      <w:pPr>
        <w:spacing w:after="0"/>
        <w:ind w:right="-1"/>
        <w:rPr>
          <w:b/>
          <w:i/>
          <w:noProof/>
        </w:rPr>
      </w:pPr>
      <w:r w:rsidRPr="009E6BA4">
        <w:rPr>
          <w:b/>
          <w:i/>
          <w:noProof/>
        </w:rPr>
        <w:lastRenderedPageBreak/>
        <w:t>REVISED CONTENT, CORPORATE PLAN AND PERFORMANCE 2018/19</w:t>
      </w:r>
    </w:p>
    <w:p w:rsid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The Annual Corporate Plan Performance report for 2018/19 will be presented to full Council at the end of July 2019. The report will provide an overview of how the Council performed against the identified deliverables for 2018/19, within the five-year 2018/23 Corporate Plan.</w:t>
      </w:r>
    </w:p>
    <w:p w:rsidR="009E6BA4" w:rsidRPr="009E6BA4" w:rsidRDefault="009E6BA4" w:rsidP="009E6BA4">
      <w:pPr>
        <w:spacing w:after="0"/>
        <w:ind w:right="-1"/>
        <w:rPr>
          <w:noProof/>
        </w:rPr>
      </w:pPr>
    </w:p>
    <w:p w:rsid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In summary, the Council has made good progress throughout the first year of this five-year journey, although it is important to understand that many of these Corporate Plan projects run across multiple years, therefore a significant amount of the work completed to date has been at a strategic planning and consultation level. Although this process can be time intensive, South Ribble Borough Council are committed to ensuring that the projects delivered meet the needs of South Ribble’s communities, and therefore follow a ‘we asked, you said, we did’ approach. With the Corporate Plan, some projects are delivered directly by the Council itself, while others are led by other organisations, with the Council playing a supporting or influencing role.</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The Corporate Plan is delivered with the purpose to achieve the Council’s vision and ambition.</w:t>
      </w:r>
    </w:p>
    <w:p w:rsidR="009E6BA4" w:rsidRPr="009E6BA4" w:rsidRDefault="009E6BA4" w:rsidP="009E6BA4">
      <w:pPr>
        <w:spacing w:after="0"/>
        <w:ind w:right="-1"/>
        <w:rPr>
          <w:noProof/>
        </w:rPr>
      </w:pPr>
    </w:p>
    <w:p w:rsidR="009E6BA4" w:rsidRPr="009E6BA4" w:rsidRDefault="009E6BA4" w:rsidP="009E6BA4">
      <w:pPr>
        <w:spacing w:after="0"/>
        <w:rPr>
          <w:noProof/>
        </w:rPr>
      </w:pPr>
    </w:p>
    <w:p w:rsidR="009E6BA4" w:rsidRPr="009E6BA4" w:rsidRDefault="009E6BA4" w:rsidP="009E6BA4">
      <w:pPr>
        <w:spacing w:after="0"/>
        <w:ind w:right="-1"/>
        <w:rPr>
          <w:noProof/>
        </w:rPr>
      </w:pPr>
      <w:r w:rsidRPr="009E6BA4">
        <w:rPr>
          <w:noProof/>
        </w:rPr>
        <w:t>This vision is summarised as:</w:t>
      </w:r>
    </w:p>
    <w:p w:rsidR="009E6BA4" w:rsidRPr="009E6BA4" w:rsidRDefault="009E6BA4" w:rsidP="009E6BA4">
      <w:pPr>
        <w:spacing w:after="0"/>
        <w:ind w:right="-1"/>
        <w:rPr>
          <w:noProof/>
        </w:rPr>
      </w:pPr>
    </w:p>
    <w:p w:rsidR="009E6BA4" w:rsidRPr="009E6BA4" w:rsidRDefault="009E6BA4" w:rsidP="009E6BA4">
      <w:pPr>
        <w:spacing w:after="0"/>
        <w:ind w:left="576" w:right="576"/>
        <w:rPr>
          <w:noProof/>
        </w:rPr>
      </w:pPr>
      <w:r w:rsidRPr="009E6BA4">
        <w:rPr>
          <w:noProof/>
        </w:rPr>
        <w:t>‘South Ribble is and continues to be recognised nationally as the best place in the UK’.</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And the ambition is to be:</w:t>
      </w:r>
    </w:p>
    <w:p w:rsidR="009E6BA4" w:rsidRPr="009E6BA4" w:rsidRDefault="009E6BA4" w:rsidP="009E6BA4">
      <w:pPr>
        <w:spacing w:after="0"/>
        <w:ind w:right="-1"/>
        <w:rPr>
          <w:noProof/>
        </w:rPr>
      </w:pPr>
    </w:p>
    <w:p w:rsidR="009E6BA4" w:rsidRPr="009E6BA4" w:rsidRDefault="009E6BA4" w:rsidP="009E6BA4">
      <w:pPr>
        <w:spacing w:after="0"/>
        <w:ind w:left="576" w:right="576"/>
        <w:rPr>
          <w:noProof/>
        </w:rPr>
      </w:pPr>
      <w:r w:rsidRPr="009E6BA4">
        <w:rPr>
          <w:noProof/>
        </w:rPr>
        <w:t>‘A Council that is recognised for being innovative, forward thinking and financially self-sufficient, whilst putting people at the heart of everything we do’</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From 2019/20 onwards the Council has committed to aligning the projects delivered within the Corporate Plan to the 2019/24 South Ribble Community Strategy, which was developed by the South Ribble Partnership in 2018. Doing this allows the Council to work towards shared community objectives in collaboration with community partners, in the priority areas of Effective Partnerships, Growth, Connected, and Place.</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Although South Ribble Borough Council’s Corporate Plan is directly informed by the South Ribble Community Strategy, both the Corporate Plan and Community Strategy are influenced by wider regional and sub-regional plans. The Council work closely with partners at a regional and sub-regional level to develop policies (</w:t>
      </w:r>
      <w:r w:rsidRPr="009E6BA4">
        <w:rPr>
          <w:i/>
          <w:noProof/>
        </w:rPr>
        <w:t>what is intended to be delivered</w:t>
      </w:r>
      <w:r w:rsidRPr="009E6BA4">
        <w:rPr>
          <w:noProof/>
        </w:rPr>
        <w:t>) and strategies (</w:t>
      </w:r>
      <w:r w:rsidRPr="009E6BA4">
        <w:rPr>
          <w:i/>
          <w:noProof/>
        </w:rPr>
        <w:t>how this is intended to be delivered</w:t>
      </w:r>
      <w:r w:rsidRPr="009E6BA4">
        <w:rPr>
          <w:noProof/>
        </w:rPr>
        <w:t>) that support these plans, and bring mutual benefits for all organisations and districts involved.</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These policies and strategies then influence policies and strategies that are in place within the Council, however using the ‘performance management, review, and continuous improvement approach’ these policies and strategies remain equipped to facilitate the successful delivery of the Corporate Plan, whilst also producing outcomes aligned with the Community Strategy and wider regional and sub-regional plans.</w:t>
      </w:r>
    </w:p>
    <w:p w:rsidR="009E6BA4" w:rsidRPr="009E6BA4" w:rsidRDefault="009E6BA4" w:rsidP="009E6BA4">
      <w:pPr>
        <w:spacing w:after="0"/>
        <w:ind w:right="-1"/>
        <w:rPr>
          <w:noProof/>
        </w:rPr>
      </w:pPr>
    </w:p>
    <w:p w:rsidR="009E6BA4" w:rsidRPr="009E6BA4" w:rsidRDefault="009E6BA4" w:rsidP="009E6BA4">
      <w:pPr>
        <w:spacing w:after="0"/>
        <w:rPr>
          <w:noProof/>
        </w:rPr>
      </w:pPr>
    </w:p>
    <w:p w:rsidR="009E6BA4" w:rsidRPr="009E6BA4" w:rsidRDefault="009E6BA4" w:rsidP="009E6BA4">
      <w:pPr>
        <w:spacing w:after="0"/>
        <w:ind w:right="-1"/>
        <w:rPr>
          <w:noProof/>
        </w:rPr>
      </w:pPr>
      <w:r w:rsidRPr="009E6BA4">
        <w:rPr>
          <w:rFonts w:eastAsia="Arial"/>
          <w:noProof/>
          <w:color w:val="000000"/>
        </w:rPr>
        <w:lastRenderedPageBreak/>
        <w:drawing>
          <wp:anchor distT="0" distB="0" distL="114300" distR="114300" simplePos="0" relativeHeight="251663360" behindDoc="1" locked="0" layoutInCell="1" allowOverlap="1" wp14:anchorId="2786562A" wp14:editId="67A4450C">
            <wp:simplePos x="0" y="0"/>
            <wp:positionH relativeFrom="margin">
              <wp:posOffset>0</wp:posOffset>
            </wp:positionH>
            <wp:positionV relativeFrom="page">
              <wp:posOffset>914400</wp:posOffset>
            </wp:positionV>
            <wp:extent cx="5970905" cy="34105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70905" cy="3410585"/>
                    </a:xfrm>
                    <a:prstGeom prst="rect">
                      <a:avLst/>
                    </a:prstGeom>
                  </pic:spPr>
                </pic:pic>
              </a:graphicData>
            </a:graphic>
            <wp14:sizeRelH relativeFrom="margin">
              <wp14:pctWidth>0</wp14:pctWidth>
            </wp14:sizeRelH>
            <wp14:sizeRelV relativeFrom="margin">
              <wp14:pctHeight>0</wp14:pctHeight>
            </wp14:sizeRelV>
          </wp:anchor>
        </w:drawing>
      </w: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Council officers (</w:t>
      </w:r>
      <w:r w:rsidRPr="009E6BA4">
        <w:rPr>
          <w:i/>
          <w:noProof/>
        </w:rPr>
        <w:t>also known as ‘Our People’ within the Corporate Plan</w:t>
      </w:r>
      <w:r w:rsidRPr="009E6BA4">
        <w:rPr>
          <w:noProof/>
        </w:rPr>
        <w:t>) are fundamental for successfully delivering the identified Corporate Priorities. The Corporate Planning and Delivery Framework sets outs below the ‘Corporate Planning and Delivery Cycle’. This cycle breaks down the annual process of Corporate Planning and Delivery into five stages, namely, Consult, Plan, Performance Management (</w:t>
      </w:r>
      <w:r w:rsidRPr="009E6BA4">
        <w:rPr>
          <w:i/>
          <w:noProof/>
        </w:rPr>
        <w:t>and Delivery</w:t>
      </w:r>
      <w:r w:rsidRPr="009E6BA4">
        <w:rPr>
          <w:noProof/>
        </w:rPr>
        <w:t>), Review (</w:t>
      </w:r>
      <w:r w:rsidRPr="009E6BA4">
        <w:rPr>
          <w:i/>
          <w:noProof/>
        </w:rPr>
        <w:t>and Evaluation</w:t>
      </w:r>
      <w:r w:rsidRPr="009E6BA4">
        <w:rPr>
          <w:noProof/>
        </w:rPr>
        <w:t>), and Continuous Improvement, whilst being underpinned by Effective Communication (</w:t>
      </w:r>
      <w:r w:rsidRPr="009E6BA4">
        <w:rPr>
          <w:i/>
          <w:noProof/>
        </w:rPr>
        <w:t>frequently and consistently throughout</w:t>
      </w:r>
      <w:r w:rsidRPr="009E6BA4">
        <w:rPr>
          <w:noProof/>
        </w:rPr>
        <w:t>), and the embedded Blended Working approach.</w:t>
      </w:r>
    </w:p>
    <w:p w:rsidR="009E6BA4" w:rsidRPr="009E6BA4" w:rsidRDefault="009E6BA4" w:rsidP="009E6BA4">
      <w:pPr>
        <w:spacing w:after="0"/>
        <w:ind w:right="-1"/>
        <w:rPr>
          <w:noProof/>
        </w:rPr>
      </w:pPr>
    </w:p>
    <w:p w:rsidR="009E6BA4" w:rsidRDefault="009E6BA4">
      <w:pPr>
        <w:rPr>
          <w:noProof/>
        </w:rPr>
      </w:pPr>
      <w:r>
        <w:rPr>
          <w:noProof/>
        </w:rPr>
        <w:br w:type="page"/>
      </w:r>
    </w:p>
    <w:p w:rsidR="009E6BA4" w:rsidRPr="009E6BA4" w:rsidRDefault="009E6BA4" w:rsidP="009E6BA4">
      <w:pPr>
        <w:spacing w:after="0"/>
        <w:ind w:right="-1"/>
        <w:rPr>
          <w:noProof/>
        </w:rPr>
      </w:pPr>
      <w:r w:rsidRPr="009E6BA4">
        <w:rPr>
          <w:noProof/>
        </w:rPr>
        <w:lastRenderedPageBreak/>
        <w:t>This framework and way of working echoes South Ribble Borough Council’s ethos of being ‘One Council, One Team, Creating Excellence’, by both creating and supporting the high performing teams that have delivered the excellent progress made across the five-year Corporate Plan to date.</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drawing>
          <wp:anchor distT="0" distB="0" distL="114300" distR="114300" simplePos="0" relativeHeight="251660288" behindDoc="0" locked="0" layoutInCell="1" allowOverlap="1" wp14:anchorId="53101800" wp14:editId="2B75955D">
            <wp:simplePos x="0" y="0"/>
            <wp:positionH relativeFrom="margin">
              <wp:posOffset>571500</wp:posOffset>
            </wp:positionH>
            <wp:positionV relativeFrom="paragraph">
              <wp:posOffset>77470</wp:posOffset>
            </wp:positionV>
            <wp:extent cx="4443730" cy="4580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443730" cy="4580890"/>
                    </a:xfrm>
                    <a:prstGeom prst="rect">
                      <a:avLst/>
                    </a:prstGeom>
                  </pic:spPr>
                </pic:pic>
              </a:graphicData>
            </a:graphic>
            <wp14:sizeRelH relativeFrom="margin">
              <wp14:pctWidth>0</wp14:pctWidth>
            </wp14:sizeRelH>
            <wp14:sizeRelV relativeFrom="margin">
              <wp14:pctHeight>0</wp14:pctHeight>
            </wp14:sizeRelV>
          </wp:anchor>
        </w:drawing>
      </w: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rPr>
          <w:noProof/>
        </w:rPr>
      </w:pPr>
      <w:r w:rsidRPr="009E6BA4">
        <w:rPr>
          <w:noProof/>
        </w:rPr>
        <w:br w:type="page"/>
      </w:r>
    </w:p>
    <w:p w:rsidR="009E6BA4" w:rsidRPr="009E6BA4" w:rsidRDefault="009E6BA4" w:rsidP="009E6BA4">
      <w:pPr>
        <w:spacing w:after="0"/>
        <w:ind w:right="-1"/>
        <w:rPr>
          <w:noProof/>
        </w:rPr>
      </w:pPr>
      <w:r w:rsidRPr="009E6BA4">
        <w:rPr>
          <w:noProof/>
        </w:rPr>
        <w:lastRenderedPageBreak/>
        <w:t xml:space="preserve">The Corporate Plan is broken into three key </w:t>
      </w:r>
      <w:r w:rsidRPr="009E6BA4">
        <w:rPr>
          <w:b/>
          <w:i/>
          <w:noProof/>
        </w:rPr>
        <w:t>Corporate Priorities</w:t>
      </w:r>
      <w:r w:rsidRPr="009E6BA4">
        <w:rPr>
          <w:noProof/>
        </w:rPr>
        <w:t xml:space="preserve"> (as shown in the model below), each which contain programmes and projects for delivery. Each of these priorities are underpinned by ‘</w:t>
      </w:r>
      <w:r w:rsidRPr="009E6BA4">
        <w:rPr>
          <w:b/>
          <w:i/>
          <w:noProof/>
        </w:rPr>
        <w:t>Our People</w:t>
      </w:r>
      <w:r w:rsidRPr="009E6BA4">
        <w:rPr>
          <w:noProof/>
        </w:rPr>
        <w:t>’, as we must develop and support our Council officers to facilitate the delivery of our Corporate Plan for all of South Ribble’s communities.</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rFonts w:cs="Arial"/>
          <w:noProof/>
        </w:rPr>
        <w:drawing>
          <wp:anchor distT="0" distB="0" distL="114300" distR="114300" simplePos="0" relativeHeight="251661312" behindDoc="0" locked="0" layoutInCell="1" allowOverlap="1" wp14:anchorId="58EFD0B3" wp14:editId="03263A8C">
            <wp:simplePos x="0" y="0"/>
            <wp:positionH relativeFrom="page">
              <wp:posOffset>1733550</wp:posOffset>
            </wp:positionH>
            <wp:positionV relativeFrom="paragraph">
              <wp:posOffset>113030</wp:posOffset>
            </wp:positionV>
            <wp:extent cx="4060825" cy="3146244"/>
            <wp:effectExtent l="0" t="95250" r="0" b="92710"/>
            <wp:wrapNone/>
            <wp:docPr id="226" name="Diagram 2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The areas of activity and the identified projects associated with each of these are identified below, together with examples of performance against them in 2018/19. A detailed performance report for the year will be presented to full Council towards the end of July 2019.</w:t>
      </w:r>
    </w:p>
    <w:p w:rsidR="009E6BA4" w:rsidRPr="009E6BA4" w:rsidRDefault="009E6BA4" w:rsidP="009E6BA4">
      <w:pPr>
        <w:spacing w:after="0"/>
        <w:ind w:right="-1"/>
        <w:rPr>
          <w:noProof/>
        </w:rPr>
      </w:pPr>
    </w:p>
    <w:p w:rsidR="009E6BA4" w:rsidRPr="009E6BA4" w:rsidRDefault="009E6BA4" w:rsidP="009E6BA4">
      <w:pPr>
        <w:spacing w:after="0"/>
        <w:ind w:right="-1"/>
        <w:rPr>
          <w:b/>
          <w:i/>
          <w:noProof/>
        </w:rPr>
      </w:pPr>
      <w:r w:rsidRPr="009E6BA4">
        <w:rPr>
          <w:b/>
          <w:i/>
          <w:noProof/>
        </w:rPr>
        <w:t>Excellence and Financial Sustainability</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This heading covers the following:</w:t>
      </w:r>
    </w:p>
    <w:p w:rsidR="009E6BA4" w:rsidRPr="009E6BA4" w:rsidRDefault="009E6BA4" w:rsidP="009E6BA4">
      <w:pPr>
        <w:pStyle w:val="ListParagraph"/>
        <w:numPr>
          <w:ilvl w:val="0"/>
          <w:numId w:val="4"/>
        </w:numPr>
        <w:spacing w:after="0" w:line="240" w:lineRule="auto"/>
        <w:ind w:right="-1"/>
        <w:contextualSpacing w:val="0"/>
        <w:jc w:val="both"/>
        <w:rPr>
          <w:noProof/>
        </w:rPr>
      </w:pPr>
      <w:r w:rsidRPr="009E6BA4">
        <w:rPr>
          <w:noProof/>
        </w:rPr>
        <w:t>Council Investment Portfolio Programme</w:t>
      </w:r>
    </w:p>
    <w:p w:rsidR="009E6BA4" w:rsidRPr="009E6BA4" w:rsidRDefault="009E6BA4" w:rsidP="009E6BA4">
      <w:pPr>
        <w:pStyle w:val="ListParagraph"/>
        <w:numPr>
          <w:ilvl w:val="0"/>
          <w:numId w:val="4"/>
        </w:numPr>
        <w:spacing w:after="0" w:line="240" w:lineRule="auto"/>
        <w:ind w:right="-1"/>
        <w:contextualSpacing w:val="0"/>
        <w:jc w:val="both"/>
        <w:rPr>
          <w:noProof/>
        </w:rPr>
      </w:pPr>
      <w:r w:rsidRPr="009E6BA4">
        <w:rPr>
          <w:noProof/>
        </w:rPr>
        <w:t>Transformation Programme</w:t>
      </w:r>
    </w:p>
    <w:p w:rsidR="009E6BA4" w:rsidRPr="009E6BA4" w:rsidRDefault="009E6BA4" w:rsidP="009E6BA4">
      <w:pPr>
        <w:pStyle w:val="ListParagraph"/>
        <w:numPr>
          <w:ilvl w:val="0"/>
          <w:numId w:val="4"/>
        </w:numPr>
        <w:spacing w:after="0" w:line="240" w:lineRule="auto"/>
        <w:ind w:right="-1"/>
        <w:contextualSpacing w:val="0"/>
        <w:jc w:val="both"/>
        <w:rPr>
          <w:noProof/>
        </w:rPr>
      </w:pPr>
      <w:r w:rsidRPr="009E6BA4">
        <w:rPr>
          <w:noProof/>
        </w:rPr>
        <w:t>Shared Services with Chorley Council</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The table below sets out progress achieved in respect of the Council Investment Portfolio Programme.</w:t>
      </w:r>
    </w:p>
    <w:tbl>
      <w:tblPr>
        <w:tblStyle w:val="TableGrid"/>
        <w:tblpPr w:leftFromText="180" w:rightFromText="180" w:vertAnchor="text" w:horzAnchor="margin" w:tblpXSpec="right" w:tblpY="162"/>
        <w:tblW w:w="0" w:type="auto"/>
        <w:tblLook w:val="04A0" w:firstRow="1" w:lastRow="0" w:firstColumn="1" w:lastColumn="0" w:noHBand="0" w:noVBand="1"/>
      </w:tblPr>
      <w:tblGrid>
        <w:gridCol w:w="2174"/>
        <w:gridCol w:w="3108"/>
        <w:gridCol w:w="1203"/>
        <w:gridCol w:w="2531"/>
      </w:tblGrid>
      <w:tr w:rsidR="009E6BA4" w:rsidRPr="009E6BA4" w:rsidTr="00797732">
        <w:trPr>
          <w:trHeight w:val="607"/>
        </w:trPr>
        <w:tc>
          <w:tcPr>
            <w:tcW w:w="2174" w:type="dxa"/>
            <w:shd w:val="clear" w:color="auto" w:fill="0C1C8C"/>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Project (s):</w:t>
            </w:r>
          </w:p>
        </w:tc>
        <w:tc>
          <w:tcPr>
            <w:tcW w:w="3108" w:type="dxa"/>
            <w:shd w:val="clear" w:color="auto" w:fill="0C1C8C"/>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2018/19 Performance Update</w:t>
            </w:r>
          </w:p>
        </w:tc>
        <w:tc>
          <w:tcPr>
            <w:tcW w:w="1203" w:type="dxa"/>
            <w:shd w:val="clear" w:color="auto" w:fill="0C1C8C"/>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Status</w:t>
            </w:r>
          </w:p>
        </w:tc>
        <w:tc>
          <w:tcPr>
            <w:tcW w:w="2531" w:type="dxa"/>
            <w:shd w:val="clear" w:color="auto" w:fill="0C1C8C"/>
          </w:tcPr>
          <w:p w:rsidR="009E6BA4" w:rsidRPr="009E6BA4" w:rsidRDefault="009E6BA4" w:rsidP="009E6BA4">
            <w:pPr>
              <w:jc w:val="center"/>
              <w:rPr>
                <w:rFonts w:cs="Arial"/>
                <w:b/>
                <w:color w:val="FFFFFF" w:themeColor="background1"/>
                <w:sz w:val="22"/>
                <w:szCs w:val="22"/>
              </w:rPr>
            </w:pPr>
            <w:r w:rsidRPr="009E6BA4">
              <w:rPr>
                <w:rFonts w:cs="Arial"/>
                <w:b/>
                <w:color w:val="FFFFFF" w:themeColor="background1"/>
                <w:sz w:val="22"/>
                <w:szCs w:val="22"/>
              </w:rPr>
              <w:t>Next Steps in 2019/20</w:t>
            </w:r>
          </w:p>
        </w:tc>
      </w:tr>
      <w:tr w:rsidR="009E6BA4" w:rsidRPr="009E6BA4" w:rsidTr="00797732">
        <w:trPr>
          <w:trHeight w:val="1837"/>
        </w:trPr>
        <w:tc>
          <w:tcPr>
            <w:tcW w:w="2174" w:type="dxa"/>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Civic Centre Commercialisation Phase 1</w:t>
            </w:r>
          </w:p>
        </w:tc>
        <w:tc>
          <w:tcPr>
            <w:tcW w:w="3108" w:type="dxa"/>
            <w:vAlign w:val="center"/>
          </w:tcPr>
          <w:p w:rsidR="009E6BA4" w:rsidRPr="009E6BA4" w:rsidRDefault="009E6BA4" w:rsidP="009E6BA4">
            <w:pPr>
              <w:rPr>
                <w:rFonts w:cs="Arial"/>
                <w:sz w:val="22"/>
                <w:szCs w:val="22"/>
              </w:rPr>
            </w:pPr>
            <w:r w:rsidRPr="009E6BA4">
              <w:rPr>
                <w:rFonts w:cs="Arial"/>
                <w:sz w:val="22"/>
                <w:szCs w:val="22"/>
              </w:rPr>
              <w:t xml:space="preserve">The completion of the first phase of this project has included the successful renovation of the Civic Centre’s Business and Conference Centre, which is now available for external use and generating revenue. Furthermore, improvements have been made </w:t>
            </w:r>
            <w:r w:rsidRPr="009E6BA4">
              <w:rPr>
                <w:rFonts w:cs="Arial"/>
                <w:sz w:val="22"/>
                <w:szCs w:val="22"/>
              </w:rPr>
              <w:lastRenderedPageBreak/>
              <w:t>to the reception area, including signage for the Department for Work and Pensions (DWP) partners who are now located in the Civic Centre</w:t>
            </w:r>
          </w:p>
        </w:tc>
        <w:tc>
          <w:tcPr>
            <w:tcW w:w="1203" w:type="dxa"/>
            <w:shd w:val="clear" w:color="auto" w:fill="92D050"/>
          </w:tcPr>
          <w:p w:rsidR="009E6BA4" w:rsidRPr="009E6BA4" w:rsidRDefault="009E6BA4" w:rsidP="009E6BA4">
            <w:pPr>
              <w:jc w:val="center"/>
              <w:rPr>
                <w:rFonts w:cs="Arial"/>
                <w:sz w:val="22"/>
                <w:szCs w:val="22"/>
              </w:rPr>
            </w:pPr>
            <w:r w:rsidRPr="009E6BA4">
              <w:rPr>
                <w:rFonts w:cs="Arial"/>
                <w:sz w:val="22"/>
                <w:szCs w:val="22"/>
              </w:rPr>
              <w:lastRenderedPageBreak/>
              <w:br/>
              <w:t>Complete</w:t>
            </w:r>
          </w:p>
        </w:tc>
        <w:tc>
          <w:tcPr>
            <w:tcW w:w="2531" w:type="dxa"/>
            <w:shd w:val="clear" w:color="auto" w:fill="FFFFFF" w:themeFill="background1"/>
          </w:tcPr>
          <w:p w:rsidR="009E6BA4" w:rsidRPr="009E6BA4" w:rsidRDefault="009E6BA4" w:rsidP="009E6BA4">
            <w:pPr>
              <w:rPr>
                <w:rFonts w:cs="Arial"/>
                <w:sz w:val="22"/>
                <w:szCs w:val="22"/>
              </w:rPr>
            </w:pPr>
            <w:r w:rsidRPr="009E6BA4">
              <w:rPr>
                <w:rFonts w:cs="Arial"/>
                <w:sz w:val="22"/>
                <w:szCs w:val="22"/>
              </w:rPr>
              <w:t xml:space="preserve">Phase 2 of Business and Conference Centre project is set to commence through 2019/20, this is set to include further commercialisation and the renovation to the café area. </w:t>
            </w:r>
          </w:p>
        </w:tc>
      </w:tr>
      <w:tr w:rsidR="009E6BA4" w:rsidRPr="009E6BA4" w:rsidTr="00797732">
        <w:trPr>
          <w:trHeight w:val="1880"/>
        </w:trPr>
        <w:tc>
          <w:tcPr>
            <w:tcW w:w="2174" w:type="dxa"/>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lastRenderedPageBreak/>
              <w:t>Worden Hall Arts Centre Commercialisation Phase 1</w:t>
            </w:r>
          </w:p>
        </w:tc>
        <w:tc>
          <w:tcPr>
            <w:tcW w:w="3108" w:type="dxa"/>
          </w:tcPr>
          <w:p w:rsidR="009E6BA4" w:rsidRPr="009E6BA4" w:rsidRDefault="009E6BA4" w:rsidP="009E6BA4">
            <w:pPr>
              <w:rPr>
                <w:rFonts w:cs="Arial"/>
                <w:sz w:val="22"/>
                <w:szCs w:val="22"/>
              </w:rPr>
            </w:pPr>
            <w:r w:rsidRPr="009E6BA4">
              <w:rPr>
                <w:rFonts w:cs="Arial"/>
                <w:sz w:val="22"/>
                <w:szCs w:val="22"/>
              </w:rPr>
              <w:t>An investment opportunity was advertised for bids to be provided for the commercial use of Worden Hall, and applicants have now been shortlisted.</w:t>
            </w:r>
            <w:r w:rsidRPr="009E6BA4">
              <w:rPr>
                <w:rFonts w:cs="Arial"/>
                <w:sz w:val="22"/>
                <w:szCs w:val="22"/>
              </w:rPr>
              <w:br/>
            </w:r>
          </w:p>
        </w:tc>
        <w:tc>
          <w:tcPr>
            <w:tcW w:w="1203" w:type="dxa"/>
            <w:shd w:val="clear" w:color="auto" w:fill="92D050"/>
          </w:tcPr>
          <w:p w:rsidR="009E6BA4" w:rsidRPr="009E6BA4" w:rsidRDefault="009E6BA4" w:rsidP="009E6BA4">
            <w:pPr>
              <w:jc w:val="center"/>
              <w:rPr>
                <w:rFonts w:cs="Arial"/>
                <w:sz w:val="22"/>
                <w:szCs w:val="22"/>
              </w:rPr>
            </w:pPr>
            <w:r w:rsidRPr="009E6BA4">
              <w:rPr>
                <w:rFonts w:cs="Arial"/>
                <w:sz w:val="22"/>
                <w:szCs w:val="22"/>
              </w:rPr>
              <w:br/>
              <w:t>On-track</w:t>
            </w:r>
          </w:p>
        </w:tc>
        <w:tc>
          <w:tcPr>
            <w:tcW w:w="2531" w:type="dxa"/>
            <w:shd w:val="clear" w:color="auto" w:fill="FFFFFF" w:themeFill="background1"/>
          </w:tcPr>
          <w:p w:rsidR="009E6BA4" w:rsidRPr="009E6BA4" w:rsidRDefault="009E6BA4" w:rsidP="009E6BA4">
            <w:pPr>
              <w:rPr>
                <w:rFonts w:cs="Arial"/>
                <w:sz w:val="22"/>
                <w:szCs w:val="22"/>
              </w:rPr>
            </w:pPr>
            <w:r w:rsidRPr="009E6BA4">
              <w:rPr>
                <w:rFonts w:cs="Arial"/>
                <w:sz w:val="22"/>
                <w:szCs w:val="22"/>
              </w:rPr>
              <w:t>The investment opportunity shall be worked up and finalisation for consideration by Cabinet.</w:t>
            </w:r>
          </w:p>
        </w:tc>
      </w:tr>
      <w:tr w:rsidR="009E6BA4" w:rsidRPr="009E6BA4" w:rsidTr="00797732">
        <w:trPr>
          <w:trHeight w:val="1880"/>
        </w:trPr>
        <w:tc>
          <w:tcPr>
            <w:tcW w:w="2174" w:type="dxa"/>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Depot Commercialisation Phase 1</w:t>
            </w:r>
          </w:p>
        </w:tc>
        <w:tc>
          <w:tcPr>
            <w:tcW w:w="3108" w:type="dxa"/>
            <w:vAlign w:val="center"/>
          </w:tcPr>
          <w:p w:rsidR="009E6BA4" w:rsidRPr="009E6BA4" w:rsidRDefault="009E6BA4" w:rsidP="009E6BA4">
            <w:pPr>
              <w:rPr>
                <w:rFonts w:cs="Arial"/>
                <w:sz w:val="22"/>
                <w:szCs w:val="22"/>
              </w:rPr>
            </w:pPr>
            <w:r w:rsidRPr="009E6BA4">
              <w:rPr>
                <w:rFonts w:cs="Arial"/>
                <w:sz w:val="22"/>
                <w:szCs w:val="22"/>
              </w:rPr>
              <w:t>The vehicle workshop at Moss Side Depot has now been outfitted with equipment to enable MOT tests to be carried out on the premises. The MOT test Centre is forecasted to be open for use from May 2019, initially starting with in-house vehicles and opening up to staff, partners, and the public via a phased approach.</w:t>
            </w:r>
            <w:r w:rsidRPr="009E6BA4">
              <w:rPr>
                <w:rFonts w:cs="Arial"/>
                <w:sz w:val="22"/>
                <w:szCs w:val="22"/>
              </w:rPr>
              <w:br/>
            </w:r>
          </w:p>
        </w:tc>
        <w:tc>
          <w:tcPr>
            <w:tcW w:w="1203" w:type="dxa"/>
            <w:shd w:val="clear" w:color="auto" w:fill="92D050"/>
          </w:tcPr>
          <w:p w:rsidR="009E6BA4" w:rsidRPr="009E6BA4" w:rsidRDefault="009E6BA4" w:rsidP="009E6BA4">
            <w:pPr>
              <w:jc w:val="center"/>
              <w:rPr>
                <w:rFonts w:cs="Arial"/>
                <w:sz w:val="22"/>
                <w:szCs w:val="22"/>
              </w:rPr>
            </w:pPr>
            <w:r w:rsidRPr="009E6BA4">
              <w:rPr>
                <w:rFonts w:cs="Arial"/>
                <w:sz w:val="22"/>
                <w:szCs w:val="22"/>
              </w:rPr>
              <w:br/>
              <w:t>On-track</w:t>
            </w:r>
          </w:p>
        </w:tc>
        <w:tc>
          <w:tcPr>
            <w:tcW w:w="2531" w:type="dxa"/>
            <w:shd w:val="clear" w:color="auto" w:fill="FFFFFF" w:themeFill="background1"/>
          </w:tcPr>
          <w:p w:rsidR="009E6BA4" w:rsidRPr="009E6BA4" w:rsidRDefault="009E6BA4" w:rsidP="009E6BA4">
            <w:pPr>
              <w:rPr>
                <w:rFonts w:cs="Arial"/>
                <w:sz w:val="22"/>
                <w:szCs w:val="22"/>
              </w:rPr>
            </w:pPr>
            <w:r w:rsidRPr="009E6BA4">
              <w:rPr>
                <w:rFonts w:cs="Arial"/>
                <w:sz w:val="22"/>
                <w:szCs w:val="22"/>
              </w:rPr>
              <w:t xml:space="preserve">Through 2019/20 Council officers will aim to seek additional opportunities to increase revenue through the Moss Side Depot’s assets and services. </w:t>
            </w:r>
          </w:p>
        </w:tc>
      </w:tr>
      <w:tr w:rsidR="009E6BA4" w:rsidRPr="009E6BA4" w:rsidTr="00797732">
        <w:trPr>
          <w:trHeight w:val="1763"/>
        </w:trPr>
        <w:tc>
          <w:tcPr>
            <w:tcW w:w="2174" w:type="dxa"/>
          </w:tcPr>
          <w:p w:rsidR="009E6BA4" w:rsidRPr="009E6BA4" w:rsidRDefault="009E6BA4" w:rsidP="009E6BA4">
            <w:pPr>
              <w:tabs>
                <w:tab w:val="left" w:pos="839"/>
                <w:tab w:val="left" w:pos="1026"/>
              </w:tabs>
              <w:ind w:right="261"/>
              <w:contextualSpacing/>
              <w:rPr>
                <w:rFonts w:cs="Arial"/>
                <w:color w:val="000000" w:themeColor="text1"/>
                <w:sz w:val="22"/>
                <w:szCs w:val="22"/>
              </w:rPr>
            </w:pPr>
            <w:r w:rsidRPr="009E6BA4">
              <w:rPr>
                <w:rFonts w:cs="Arial"/>
                <w:color w:val="000000" w:themeColor="text1"/>
                <w:sz w:val="22"/>
                <w:szCs w:val="22"/>
              </w:rPr>
              <w:t>Surplus sites disposals programme</w:t>
            </w:r>
          </w:p>
          <w:p w:rsidR="009E6BA4" w:rsidRPr="009E6BA4" w:rsidRDefault="009E6BA4" w:rsidP="009E6BA4">
            <w:pPr>
              <w:tabs>
                <w:tab w:val="left" w:pos="839"/>
                <w:tab w:val="left" w:pos="1026"/>
              </w:tabs>
              <w:spacing w:line="259" w:lineRule="auto"/>
              <w:ind w:right="261"/>
              <w:contextualSpacing/>
              <w:rPr>
                <w:rFonts w:cs="Arial"/>
                <w:color w:val="000000" w:themeColor="text1"/>
                <w:sz w:val="22"/>
                <w:szCs w:val="22"/>
              </w:rPr>
            </w:pPr>
            <w:r w:rsidRPr="009E6BA4">
              <w:rPr>
                <w:rFonts w:cs="Arial"/>
                <w:color w:val="000000" w:themeColor="text1"/>
                <w:sz w:val="22"/>
                <w:szCs w:val="22"/>
              </w:rPr>
              <w:t>Phase 1</w:t>
            </w:r>
          </w:p>
        </w:tc>
        <w:tc>
          <w:tcPr>
            <w:tcW w:w="3108" w:type="dxa"/>
          </w:tcPr>
          <w:p w:rsidR="009E6BA4" w:rsidRPr="009E6BA4" w:rsidRDefault="009E6BA4" w:rsidP="009E6BA4">
            <w:pPr>
              <w:rPr>
                <w:rFonts w:cs="Arial"/>
                <w:sz w:val="22"/>
                <w:szCs w:val="22"/>
              </w:rPr>
            </w:pPr>
            <w:r w:rsidRPr="009E6BA4">
              <w:rPr>
                <w:rFonts w:cs="Arial"/>
                <w:sz w:val="22"/>
                <w:szCs w:val="22"/>
              </w:rPr>
              <w:t xml:space="preserve">The specification, scoring schedule and tender documentation have now been drafted for the procurement team. The tender aims to appoint advisors for a three-year period with the option to extend for an additional year. </w:t>
            </w:r>
          </w:p>
        </w:tc>
        <w:tc>
          <w:tcPr>
            <w:tcW w:w="1203" w:type="dxa"/>
            <w:shd w:val="clear" w:color="auto" w:fill="92D050"/>
          </w:tcPr>
          <w:p w:rsidR="009E6BA4" w:rsidRPr="009E6BA4" w:rsidRDefault="009E6BA4" w:rsidP="009E6BA4">
            <w:pPr>
              <w:jc w:val="center"/>
              <w:rPr>
                <w:rFonts w:cs="Arial"/>
                <w:sz w:val="22"/>
                <w:szCs w:val="22"/>
              </w:rPr>
            </w:pPr>
            <w:r w:rsidRPr="009E6BA4">
              <w:rPr>
                <w:rFonts w:cs="Arial"/>
                <w:sz w:val="22"/>
                <w:szCs w:val="22"/>
              </w:rPr>
              <w:br/>
              <w:t>On-track</w:t>
            </w:r>
          </w:p>
        </w:tc>
        <w:tc>
          <w:tcPr>
            <w:tcW w:w="2531" w:type="dxa"/>
            <w:shd w:val="clear" w:color="auto" w:fill="FFFFFF" w:themeFill="background1"/>
          </w:tcPr>
          <w:p w:rsidR="009E6BA4" w:rsidRPr="009E6BA4" w:rsidRDefault="009E6BA4" w:rsidP="009E6BA4">
            <w:pPr>
              <w:rPr>
                <w:rFonts w:cs="Arial"/>
                <w:sz w:val="22"/>
                <w:szCs w:val="22"/>
              </w:rPr>
            </w:pPr>
            <w:r w:rsidRPr="009E6BA4">
              <w:rPr>
                <w:rFonts w:cs="Arial"/>
                <w:sz w:val="22"/>
                <w:szCs w:val="22"/>
              </w:rPr>
              <w:t>Advisors will carry out a strategic asset review of surplus sites to identify next steps.</w:t>
            </w:r>
          </w:p>
        </w:tc>
      </w:tr>
      <w:tr w:rsidR="009E6BA4" w:rsidRPr="009E6BA4" w:rsidTr="00797732">
        <w:trPr>
          <w:trHeight w:val="1763"/>
        </w:trPr>
        <w:tc>
          <w:tcPr>
            <w:tcW w:w="2174" w:type="dxa"/>
          </w:tcPr>
          <w:p w:rsidR="009E6BA4" w:rsidRPr="009E6BA4" w:rsidRDefault="009E6BA4" w:rsidP="009E6BA4">
            <w:pPr>
              <w:tabs>
                <w:tab w:val="left" w:pos="839"/>
                <w:tab w:val="left" w:pos="1026"/>
              </w:tabs>
              <w:ind w:right="261"/>
              <w:contextualSpacing/>
              <w:rPr>
                <w:rFonts w:cs="Arial"/>
                <w:color w:val="000000" w:themeColor="text1"/>
                <w:sz w:val="22"/>
                <w:szCs w:val="22"/>
              </w:rPr>
            </w:pPr>
            <w:r w:rsidRPr="009E6BA4">
              <w:rPr>
                <w:rFonts w:cs="Arial"/>
                <w:color w:val="000000" w:themeColor="text1"/>
                <w:sz w:val="22"/>
                <w:szCs w:val="22"/>
              </w:rPr>
              <w:t xml:space="preserve">Develop business case for South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Home Build proposal</w:t>
            </w:r>
          </w:p>
        </w:tc>
        <w:tc>
          <w:tcPr>
            <w:tcW w:w="3108" w:type="dxa"/>
          </w:tcPr>
          <w:p w:rsidR="009E6BA4" w:rsidRPr="009E6BA4" w:rsidRDefault="009E6BA4" w:rsidP="009E6BA4">
            <w:pPr>
              <w:rPr>
                <w:rFonts w:cs="Arial"/>
                <w:sz w:val="22"/>
                <w:szCs w:val="22"/>
              </w:rPr>
            </w:pPr>
            <w:r w:rsidRPr="009E6BA4">
              <w:rPr>
                <w:rFonts w:cs="Arial"/>
                <w:sz w:val="22"/>
                <w:szCs w:val="22"/>
              </w:rPr>
              <w:t xml:space="preserve">A consultation exercise was carried out looking at a number of sites in the Council’s ownership, this included letters to residents and public consultations. Both the ‘McKenzie Arms’ on Station Road, Bamber Bridge and </w:t>
            </w:r>
            <w:proofErr w:type="spellStart"/>
            <w:r w:rsidRPr="009E6BA4">
              <w:rPr>
                <w:rFonts w:cs="Arial"/>
                <w:sz w:val="22"/>
                <w:szCs w:val="22"/>
              </w:rPr>
              <w:t>Kingsfold</w:t>
            </w:r>
            <w:proofErr w:type="spellEnd"/>
            <w:r w:rsidRPr="009E6BA4">
              <w:rPr>
                <w:rFonts w:cs="Arial"/>
                <w:sz w:val="22"/>
                <w:szCs w:val="22"/>
              </w:rPr>
              <w:t xml:space="preserve"> Drive sites were identified as priorities for full business cases and options appraisals that must be reported back to Cabinet.</w:t>
            </w:r>
          </w:p>
          <w:p w:rsidR="009E6BA4" w:rsidRPr="009E6BA4" w:rsidRDefault="009E6BA4" w:rsidP="009E6BA4">
            <w:pPr>
              <w:rPr>
                <w:rFonts w:cs="Arial"/>
                <w:sz w:val="22"/>
                <w:szCs w:val="22"/>
              </w:rPr>
            </w:pPr>
          </w:p>
        </w:tc>
        <w:tc>
          <w:tcPr>
            <w:tcW w:w="1203" w:type="dxa"/>
            <w:shd w:val="clear" w:color="auto" w:fill="92D050"/>
          </w:tcPr>
          <w:p w:rsidR="009E6BA4" w:rsidRPr="009E6BA4" w:rsidRDefault="009E6BA4" w:rsidP="009E6BA4">
            <w:pPr>
              <w:jc w:val="center"/>
              <w:rPr>
                <w:rFonts w:cs="Arial"/>
                <w:sz w:val="22"/>
                <w:szCs w:val="22"/>
              </w:rPr>
            </w:pPr>
            <w:r w:rsidRPr="009E6BA4">
              <w:rPr>
                <w:rFonts w:cs="Arial"/>
                <w:sz w:val="22"/>
                <w:szCs w:val="22"/>
              </w:rPr>
              <w:br/>
              <w:t>On-track</w:t>
            </w:r>
          </w:p>
        </w:tc>
        <w:tc>
          <w:tcPr>
            <w:tcW w:w="2531" w:type="dxa"/>
            <w:shd w:val="clear" w:color="auto" w:fill="FFFFFF" w:themeFill="background1"/>
          </w:tcPr>
          <w:p w:rsidR="009E6BA4" w:rsidRPr="009E6BA4" w:rsidRDefault="009E6BA4" w:rsidP="009E6BA4">
            <w:pPr>
              <w:rPr>
                <w:rFonts w:cs="Arial"/>
                <w:sz w:val="22"/>
                <w:szCs w:val="22"/>
              </w:rPr>
            </w:pPr>
            <w:r w:rsidRPr="009E6BA4">
              <w:rPr>
                <w:rFonts w:cs="Arial"/>
                <w:sz w:val="22"/>
                <w:szCs w:val="22"/>
              </w:rPr>
              <w:t xml:space="preserve">The </w:t>
            </w:r>
            <w:proofErr w:type="spellStart"/>
            <w:r w:rsidRPr="009E6BA4">
              <w:rPr>
                <w:rFonts w:cs="Arial"/>
                <w:sz w:val="22"/>
                <w:szCs w:val="22"/>
              </w:rPr>
              <w:t>Homebuild</w:t>
            </w:r>
            <w:proofErr w:type="spellEnd"/>
            <w:r w:rsidRPr="009E6BA4">
              <w:rPr>
                <w:rFonts w:cs="Arial"/>
                <w:sz w:val="22"/>
                <w:szCs w:val="22"/>
              </w:rPr>
              <w:t xml:space="preserve"> Strategy shall be reviewed with the new administration and a clear way forward shall be agreed.</w:t>
            </w:r>
          </w:p>
        </w:tc>
      </w:tr>
    </w:tbl>
    <w:p w:rsidR="009E6BA4" w:rsidRPr="009E6BA4" w:rsidRDefault="009E6BA4" w:rsidP="009E6BA4">
      <w:pPr>
        <w:spacing w:after="0"/>
      </w:pPr>
      <w:r w:rsidRPr="009E6BA4">
        <w:br w:type="page"/>
      </w:r>
    </w:p>
    <w:p w:rsidR="009E6BA4" w:rsidRPr="009E6BA4" w:rsidRDefault="009E6BA4" w:rsidP="009E6BA4">
      <w:pPr>
        <w:spacing w:after="0"/>
        <w:ind w:right="-1"/>
        <w:rPr>
          <w:noProof/>
        </w:rPr>
      </w:pPr>
    </w:p>
    <w:p w:rsidR="009E6BA4" w:rsidRPr="009E6BA4" w:rsidRDefault="009E6BA4" w:rsidP="009E6BA4">
      <w:pPr>
        <w:spacing w:after="0"/>
        <w:ind w:right="-1"/>
        <w:rPr>
          <w:b/>
          <w:i/>
          <w:noProof/>
        </w:rPr>
      </w:pPr>
      <w:r w:rsidRPr="009E6BA4">
        <w:rPr>
          <w:b/>
          <w:i/>
          <w:noProof/>
        </w:rPr>
        <w:t>Health and Wellbeing</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This heading covers the following:</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Health, Leisure and Wellbeing Campus Programme</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Homelessness and Independent Living Support</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Social Isolation and Loneliness</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Support for Communities and Volunteering</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Lancashire Mental Health Strategy</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Deliver the Borough’s Air Quality Plan</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Examples of progress achieved in 2018/19 are:</w:t>
      </w:r>
    </w:p>
    <w:p w:rsidR="009E6BA4" w:rsidRPr="009E6BA4" w:rsidRDefault="009E6BA4" w:rsidP="009E6BA4">
      <w:pPr>
        <w:spacing w:after="0"/>
        <w:ind w:right="-1"/>
        <w:rPr>
          <w:noProof/>
        </w:rPr>
      </w:pPr>
    </w:p>
    <w:p w:rsidR="009E6BA4" w:rsidRPr="009E6BA4" w:rsidRDefault="009E6BA4" w:rsidP="009E6BA4">
      <w:pPr>
        <w:spacing w:after="0"/>
        <w:ind w:right="-1"/>
        <w:rPr>
          <w:i/>
          <w:noProof/>
        </w:rPr>
      </w:pPr>
      <w:r w:rsidRPr="009E6BA4">
        <w:rPr>
          <w:i/>
          <w:noProof/>
        </w:rPr>
        <w:t>Homelessness and Independent Living Support</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This programme is one multiple Corporate Plan programme that the Council have committed to in order to tackle inequalities that exist across the Borough. More specifically this programme looks to prevent the number of individuals that reach the stage of becoming homeless, and also ensure that those who do reach this stage are not in that situation for the long-term. Furthermore, this programme aims to ensure that those living with disabilities are able to improve their quality of life within their homes, in a way that is both quick and accessible.</w:t>
      </w:r>
    </w:p>
    <w:p w:rsidR="009E6BA4" w:rsidRPr="009E6BA4" w:rsidRDefault="009E6BA4" w:rsidP="009E6BA4">
      <w:pPr>
        <w:spacing w:after="0"/>
        <w:ind w:right="-1"/>
        <w:rPr>
          <w:noProof/>
        </w:rPr>
      </w:pPr>
    </w:p>
    <w:tbl>
      <w:tblPr>
        <w:tblStyle w:val="TableGrid"/>
        <w:tblpPr w:leftFromText="180" w:rightFromText="180" w:vertAnchor="text" w:horzAnchor="margin" w:tblpY="2"/>
        <w:tblW w:w="9085" w:type="dxa"/>
        <w:tblLook w:val="04A0" w:firstRow="1" w:lastRow="0" w:firstColumn="1" w:lastColumn="0" w:noHBand="0" w:noVBand="1"/>
      </w:tblPr>
      <w:tblGrid>
        <w:gridCol w:w="2425"/>
        <w:gridCol w:w="2880"/>
        <w:gridCol w:w="1260"/>
        <w:gridCol w:w="2520"/>
      </w:tblGrid>
      <w:tr w:rsidR="009E6BA4" w:rsidRPr="009E6BA4" w:rsidTr="00797732">
        <w:trPr>
          <w:trHeight w:val="440"/>
        </w:trPr>
        <w:tc>
          <w:tcPr>
            <w:tcW w:w="2425"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Project (s):</w:t>
            </w:r>
          </w:p>
        </w:tc>
        <w:tc>
          <w:tcPr>
            <w:tcW w:w="2880"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2018/19 Performance Update</w:t>
            </w:r>
          </w:p>
        </w:tc>
        <w:tc>
          <w:tcPr>
            <w:tcW w:w="1260"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Status</w:t>
            </w:r>
          </w:p>
        </w:tc>
        <w:tc>
          <w:tcPr>
            <w:tcW w:w="2520" w:type="dxa"/>
            <w:shd w:val="clear" w:color="auto" w:fill="2F5496" w:themeFill="accent5" w:themeFillShade="BF"/>
          </w:tcPr>
          <w:p w:rsidR="009E6BA4" w:rsidRPr="009E6BA4" w:rsidRDefault="009E6BA4" w:rsidP="009E6BA4">
            <w:pPr>
              <w:jc w:val="center"/>
              <w:rPr>
                <w:rFonts w:cs="Arial"/>
                <w:b/>
                <w:color w:val="FFFFFF" w:themeColor="background1"/>
                <w:sz w:val="22"/>
                <w:szCs w:val="22"/>
              </w:rPr>
            </w:pPr>
            <w:r w:rsidRPr="009E6BA4">
              <w:rPr>
                <w:rFonts w:cs="Arial"/>
                <w:b/>
                <w:color w:val="FFFFFF" w:themeColor="background1"/>
                <w:sz w:val="22"/>
                <w:szCs w:val="22"/>
              </w:rPr>
              <w:t>Next Steps in 2019/20</w:t>
            </w:r>
          </w:p>
        </w:tc>
      </w:tr>
      <w:tr w:rsidR="009E6BA4" w:rsidRPr="009E6BA4" w:rsidTr="00797732">
        <w:trPr>
          <w:trHeight w:val="760"/>
        </w:trPr>
        <w:tc>
          <w:tcPr>
            <w:tcW w:w="2425" w:type="dxa"/>
            <w:shd w:val="clear" w:color="auto" w:fill="auto"/>
          </w:tcPr>
          <w:p w:rsidR="009E6BA4" w:rsidRPr="009E6BA4" w:rsidRDefault="009E6BA4" w:rsidP="009E6BA4">
            <w:pPr>
              <w:ind w:left="34" w:right="261"/>
              <w:rPr>
                <w:rFonts w:cs="Arial"/>
                <w:sz w:val="22"/>
                <w:szCs w:val="22"/>
              </w:rPr>
            </w:pPr>
            <w:r w:rsidRPr="009E6BA4">
              <w:rPr>
                <w:rFonts w:cs="Arial"/>
                <w:sz w:val="22"/>
                <w:szCs w:val="22"/>
              </w:rPr>
              <w:t>Development of a Homelessness project to implement the new Homelessness Reduction Act 2017</w:t>
            </w:r>
          </w:p>
        </w:tc>
        <w:tc>
          <w:tcPr>
            <w:tcW w:w="2880" w:type="dxa"/>
            <w:shd w:val="clear" w:color="auto" w:fill="auto"/>
            <w:vAlign w:val="center"/>
          </w:tcPr>
          <w:p w:rsidR="009E6BA4" w:rsidRPr="009E6BA4" w:rsidRDefault="009E6BA4" w:rsidP="009E6BA4">
            <w:pPr>
              <w:spacing w:line="259" w:lineRule="auto"/>
              <w:contextualSpacing/>
              <w:rPr>
                <w:rFonts w:cs="Arial"/>
                <w:sz w:val="22"/>
                <w:szCs w:val="22"/>
              </w:rPr>
            </w:pPr>
            <w:r w:rsidRPr="009E6BA4">
              <w:rPr>
                <w:rFonts w:cs="Arial"/>
                <w:sz w:val="22"/>
                <w:szCs w:val="22"/>
              </w:rPr>
              <w:t>This project was successfully delivered to implement the Homelessness Reduction Act 2017. The Homelessness Strategy is now ongoing as ‘business as usual’.</w:t>
            </w:r>
          </w:p>
        </w:tc>
        <w:tc>
          <w:tcPr>
            <w:tcW w:w="1260" w:type="dxa"/>
            <w:shd w:val="clear" w:color="auto" w:fill="92D050"/>
          </w:tcPr>
          <w:p w:rsidR="009E6BA4" w:rsidRPr="009E6BA4" w:rsidRDefault="009E6BA4" w:rsidP="009E6BA4">
            <w:pPr>
              <w:contextualSpacing/>
              <w:jc w:val="center"/>
              <w:rPr>
                <w:rFonts w:cs="Arial"/>
                <w:sz w:val="22"/>
                <w:szCs w:val="22"/>
              </w:rPr>
            </w:pPr>
          </w:p>
          <w:p w:rsidR="009E6BA4" w:rsidRPr="009E6BA4" w:rsidRDefault="009E6BA4" w:rsidP="009E6BA4">
            <w:pPr>
              <w:contextualSpacing/>
              <w:rPr>
                <w:rFonts w:cs="Arial"/>
                <w:sz w:val="22"/>
                <w:szCs w:val="22"/>
              </w:rPr>
            </w:pPr>
            <w:r w:rsidRPr="009E6BA4">
              <w:rPr>
                <w:rFonts w:cs="Arial"/>
                <w:sz w:val="22"/>
                <w:szCs w:val="22"/>
              </w:rPr>
              <w:t>Complete</w:t>
            </w:r>
          </w:p>
        </w:tc>
        <w:tc>
          <w:tcPr>
            <w:tcW w:w="2520" w:type="dxa"/>
            <w:vMerge w:val="restart"/>
            <w:shd w:val="clear" w:color="auto" w:fill="FFFFFF" w:themeFill="background1"/>
          </w:tcPr>
          <w:p w:rsidR="009E6BA4" w:rsidRPr="009E6BA4" w:rsidRDefault="009E6BA4" w:rsidP="009E6BA4">
            <w:pPr>
              <w:rPr>
                <w:rFonts w:cs="Arial"/>
                <w:sz w:val="22"/>
                <w:szCs w:val="22"/>
              </w:rPr>
            </w:pPr>
            <w:r w:rsidRPr="009E6BA4">
              <w:rPr>
                <w:rFonts w:cs="Arial"/>
                <w:sz w:val="22"/>
                <w:szCs w:val="22"/>
              </w:rPr>
              <w:t>Implement a new service delivery model of health focused on prevention.</w:t>
            </w:r>
          </w:p>
        </w:tc>
      </w:tr>
      <w:tr w:rsidR="009E6BA4" w:rsidRPr="009E6BA4" w:rsidTr="00797732">
        <w:trPr>
          <w:trHeight w:val="950"/>
        </w:trPr>
        <w:tc>
          <w:tcPr>
            <w:tcW w:w="2425" w:type="dxa"/>
            <w:shd w:val="clear" w:color="auto" w:fill="auto"/>
          </w:tcPr>
          <w:p w:rsidR="009E6BA4" w:rsidRPr="009E6BA4" w:rsidRDefault="009E6BA4" w:rsidP="009E6BA4">
            <w:pPr>
              <w:ind w:left="34" w:right="261"/>
              <w:rPr>
                <w:rFonts w:cs="Arial"/>
                <w:sz w:val="22"/>
                <w:szCs w:val="22"/>
              </w:rPr>
            </w:pPr>
            <w:r w:rsidRPr="009E6BA4">
              <w:rPr>
                <w:rFonts w:cs="Arial"/>
                <w:sz w:val="22"/>
                <w:szCs w:val="22"/>
              </w:rPr>
              <w:t>Implement a project to deliver additional Independent living</w:t>
            </w:r>
          </w:p>
          <w:p w:rsidR="009E6BA4" w:rsidRPr="009E6BA4" w:rsidRDefault="009E6BA4" w:rsidP="009E6BA4">
            <w:pPr>
              <w:ind w:left="34" w:right="261"/>
              <w:rPr>
                <w:rFonts w:cs="Arial"/>
                <w:sz w:val="22"/>
                <w:szCs w:val="22"/>
              </w:rPr>
            </w:pPr>
            <w:r w:rsidRPr="009E6BA4">
              <w:rPr>
                <w:rFonts w:cs="Arial"/>
                <w:sz w:val="22"/>
                <w:szCs w:val="22"/>
              </w:rPr>
              <w:t>support to people living with a disability</w:t>
            </w:r>
          </w:p>
        </w:tc>
        <w:tc>
          <w:tcPr>
            <w:tcW w:w="2880" w:type="dxa"/>
            <w:shd w:val="clear" w:color="auto" w:fill="auto"/>
            <w:vAlign w:val="center"/>
          </w:tcPr>
          <w:p w:rsidR="009E6BA4" w:rsidRPr="009E6BA4" w:rsidRDefault="009E6BA4" w:rsidP="009E6BA4">
            <w:pPr>
              <w:contextualSpacing/>
              <w:rPr>
                <w:rFonts w:cs="Arial"/>
                <w:sz w:val="22"/>
                <w:szCs w:val="22"/>
              </w:rPr>
            </w:pPr>
            <w:r w:rsidRPr="009E6BA4">
              <w:rPr>
                <w:rFonts w:cs="Arial"/>
                <w:sz w:val="22"/>
                <w:szCs w:val="22"/>
              </w:rPr>
              <w:t>The completion of this project has enabled customers who have been referred for assistance through the fast track process to benefit from adaptations to their homes quicker, and therefore been able to be discharged sooner.</w:t>
            </w:r>
          </w:p>
          <w:p w:rsidR="009E6BA4" w:rsidRPr="009E6BA4" w:rsidRDefault="009E6BA4" w:rsidP="009E6BA4">
            <w:pPr>
              <w:contextualSpacing/>
              <w:rPr>
                <w:rFonts w:cs="Arial"/>
                <w:sz w:val="22"/>
                <w:szCs w:val="22"/>
              </w:rPr>
            </w:pPr>
          </w:p>
          <w:p w:rsidR="009E6BA4" w:rsidRPr="009E6BA4" w:rsidRDefault="009E6BA4" w:rsidP="009E6BA4">
            <w:pPr>
              <w:contextualSpacing/>
              <w:rPr>
                <w:rFonts w:cs="Arial"/>
                <w:sz w:val="22"/>
                <w:szCs w:val="22"/>
              </w:rPr>
            </w:pPr>
            <w:r w:rsidRPr="009E6BA4">
              <w:rPr>
                <w:rFonts w:cs="Arial"/>
                <w:sz w:val="22"/>
                <w:szCs w:val="22"/>
              </w:rPr>
              <w:t>The project will continue to be delivered as ‘business as usual’.</w:t>
            </w:r>
          </w:p>
        </w:tc>
        <w:tc>
          <w:tcPr>
            <w:tcW w:w="1260" w:type="dxa"/>
            <w:shd w:val="clear" w:color="auto" w:fill="92D050"/>
          </w:tcPr>
          <w:p w:rsidR="009E6BA4" w:rsidRPr="009E6BA4" w:rsidRDefault="009E6BA4" w:rsidP="009E6BA4">
            <w:pPr>
              <w:contextualSpacing/>
              <w:jc w:val="center"/>
              <w:rPr>
                <w:rFonts w:cs="Arial"/>
                <w:sz w:val="22"/>
                <w:szCs w:val="22"/>
              </w:rPr>
            </w:pPr>
          </w:p>
          <w:p w:rsidR="009E6BA4" w:rsidRPr="009E6BA4" w:rsidRDefault="009E6BA4" w:rsidP="009E6BA4">
            <w:pPr>
              <w:contextualSpacing/>
              <w:jc w:val="center"/>
              <w:rPr>
                <w:rFonts w:cs="Arial"/>
                <w:sz w:val="22"/>
                <w:szCs w:val="22"/>
              </w:rPr>
            </w:pPr>
            <w:r w:rsidRPr="009E6BA4">
              <w:rPr>
                <w:rFonts w:cs="Arial"/>
                <w:sz w:val="22"/>
                <w:szCs w:val="22"/>
              </w:rPr>
              <w:t>Complete</w:t>
            </w:r>
          </w:p>
        </w:tc>
        <w:tc>
          <w:tcPr>
            <w:tcW w:w="2520" w:type="dxa"/>
            <w:vMerge/>
            <w:shd w:val="clear" w:color="auto" w:fill="FFFFFF" w:themeFill="background1"/>
          </w:tcPr>
          <w:p w:rsidR="009E6BA4" w:rsidRPr="009E6BA4" w:rsidRDefault="009E6BA4" w:rsidP="009E6BA4">
            <w:pPr>
              <w:rPr>
                <w:rFonts w:cs="Arial"/>
                <w:sz w:val="22"/>
                <w:szCs w:val="22"/>
              </w:rPr>
            </w:pPr>
          </w:p>
        </w:tc>
      </w:tr>
    </w:tbl>
    <w:p w:rsidR="009E6BA4" w:rsidRPr="009E6BA4" w:rsidRDefault="009E6BA4" w:rsidP="009E6BA4">
      <w:pPr>
        <w:spacing w:after="0"/>
        <w:ind w:right="-1"/>
        <w:rPr>
          <w:noProof/>
        </w:rPr>
      </w:pPr>
    </w:p>
    <w:p w:rsidR="009E6BA4" w:rsidRPr="009E6BA4" w:rsidRDefault="009E6BA4" w:rsidP="009E6BA4">
      <w:pPr>
        <w:spacing w:after="0"/>
        <w:rPr>
          <w:i/>
          <w:noProof/>
        </w:rPr>
      </w:pPr>
      <w:r w:rsidRPr="009E6BA4">
        <w:rPr>
          <w:i/>
          <w:noProof/>
        </w:rPr>
        <w:br w:type="page"/>
      </w:r>
    </w:p>
    <w:p w:rsidR="009E6BA4" w:rsidRPr="009E6BA4" w:rsidRDefault="009E6BA4" w:rsidP="009E6BA4">
      <w:pPr>
        <w:spacing w:after="0"/>
        <w:ind w:right="-1"/>
        <w:rPr>
          <w:i/>
          <w:noProof/>
        </w:rPr>
      </w:pPr>
      <w:r w:rsidRPr="009E6BA4">
        <w:rPr>
          <w:i/>
          <w:noProof/>
        </w:rPr>
        <w:lastRenderedPageBreak/>
        <w:t>Support for Communities and Volunteering</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This programme focuses on how the Council, partners, and members of the community can work together to actively participate in improving the quality of life for those across South Ribble’s communities living with inequalities.</w:t>
      </w:r>
    </w:p>
    <w:p w:rsidR="009E6BA4" w:rsidRPr="009E6BA4" w:rsidRDefault="009E6BA4" w:rsidP="009E6BA4">
      <w:pPr>
        <w:spacing w:after="0"/>
        <w:ind w:right="-1"/>
        <w:rPr>
          <w:noProof/>
        </w:rPr>
      </w:pPr>
    </w:p>
    <w:tbl>
      <w:tblPr>
        <w:tblStyle w:val="TableGrid"/>
        <w:tblpPr w:leftFromText="180" w:rightFromText="180" w:vertAnchor="text" w:horzAnchor="margin" w:tblpY="2"/>
        <w:tblW w:w="9085" w:type="dxa"/>
        <w:tblLook w:val="04A0" w:firstRow="1" w:lastRow="0" w:firstColumn="1" w:lastColumn="0" w:noHBand="0" w:noVBand="1"/>
      </w:tblPr>
      <w:tblGrid>
        <w:gridCol w:w="2155"/>
        <w:gridCol w:w="3150"/>
        <w:gridCol w:w="1260"/>
        <w:gridCol w:w="2520"/>
      </w:tblGrid>
      <w:tr w:rsidR="009E6BA4" w:rsidRPr="009E6BA4" w:rsidTr="00797732">
        <w:trPr>
          <w:trHeight w:val="440"/>
        </w:trPr>
        <w:tc>
          <w:tcPr>
            <w:tcW w:w="2155"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Project (s):</w:t>
            </w:r>
          </w:p>
        </w:tc>
        <w:tc>
          <w:tcPr>
            <w:tcW w:w="3150"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2018/19 Performance Update</w:t>
            </w:r>
          </w:p>
        </w:tc>
        <w:tc>
          <w:tcPr>
            <w:tcW w:w="1260"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Status</w:t>
            </w:r>
          </w:p>
        </w:tc>
        <w:tc>
          <w:tcPr>
            <w:tcW w:w="2520" w:type="dxa"/>
            <w:shd w:val="clear" w:color="auto" w:fill="2F5496" w:themeFill="accent5" w:themeFillShade="BF"/>
          </w:tcPr>
          <w:p w:rsidR="009E6BA4" w:rsidRPr="009E6BA4" w:rsidRDefault="009E6BA4" w:rsidP="009E6BA4">
            <w:pPr>
              <w:jc w:val="center"/>
              <w:rPr>
                <w:rFonts w:cs="Arial"/>
                <w:b/>
                <w:color w:val="FFFFFF" w:themeColor="background1"/>
                <w:sz w:val="22"/>
                <w:szCs w:val="22"/>
              </w:rPr>
            </w:pPr>
            <w:r w:rsidRPr="009E6BA4">
              <w:rPr>
                <w:rFonts w:cs="Arial"/>
                <w:b/>
                <w:color w:val="FFFFFF" w:themeColor="background1"/>
                <w:sz w:val="22"/>
                <w:szCs w:val="22"/>
              </w:rPr>
              <w:t>Next Steps in 2019/20</w:t>
            </w:r>
          </w:p>
        </w:tc>
      </w:tr>
      <w:tr w:rsidR="009E6BA4" w:rsidRPr="009E6BA4" w:rsidTr="00797732">
        <w:trPr>
          <w:trHeight w:val="760"/>
        </w:trPr>
        <w:tc>
          <w:tcPr>
            <w:tcW w:w="2155" w:type="dxa"/>
            <w:shd w:val="clear" w:color="auto" w:fill="auto"/>
          </w:tcPr>
          <w:p w:rsidR="009E6BA4" w:rsidRPr="009E6BA4" w:rsidRDefault="009E6BA4" w:rsidP="009E6BA4">
            <w:pPr>
              <w:ind w:right="261"/>
              <w:contextualSpacing/>
              <w:rPr>
                <w:rFonts w:cs="Arial"/>
                <w:sz w:val="22"/>
                <w:szCs w:val="22"/>
              </w:rPr>
            </w:pPr>
            <w:r w:rsidRPr="009E6BA4">
              <w:rPr>
                <w:rFonts w:cs="Arial"/>
                <w:sz w:val="22"/>
                <w:szCs w:val="22"/>
              </w:rPr>
              <w:t>Adopt a revised Council Tax Support Scheme for 2019/20</w:t>
            </w:r>
          </w:p>
        </w:tc>
        <w:tc>
          <w:tcPr>
            <w:tcW w:w="3150" w:type="dxa"/>
            <w:shd w:val="clear" w:color="auto" w:fill="auto"/>
          </w:tcPr>
          <w:p w:rsidR="009E6BA4" w:rsidRPr="009E6BA4" w:rsidRDefault="009E6BA4" w:rsidP="009E6BA4">
            <w:pPr>
              <w:rPr>
                <w:rFonts w:cs="Arial"/>
                <w:sz w:val="22"/>
                <w:szCs w:val="22"/>
              </w:rPr>
            </w:pPr>
            <w:r w:rsidRPr="009E6BA4">
              <w:rPr>
                <w:rFonts w:cs="Arial"/>
                <w:sz w:val="22"/>
                <w:szCs w:val="22"/>
              </w:rPr>
              <w:t>The Council Tax Support scheme was agreed for 2019/20 with no change to annual billing. Following an additional report to Council regarding the outcome of further modelling and recommendations for a review of the Hardship Policy, further work will be undertaken in 2019/20.</w:t>
            </w:r>
          </w:p>
        </w:tc>
        <w:tc>
          <w:tcPr>
            <w:tcW w:w="1260" w:type="dxa"/>
            <w:shd w:val="clear" w:color="auto" w:fill="92D050"/>
          </w:tcPr>
          <w:p w:rsidR="009E6BA4" w:rsidRPr="009E6BA4" w:rsidRDefault="009E6BA4" w:rsidP="009E6BA4">
            <w:pPr>
              <w:jc w:val="center"/>
              <w:rPr>
                <w:rFonts w:cs="Arial"/>
                <w:sz w:val="22"/>
                <w:szCs w:val="22"/>
              </w:rPr>
            </w:pPr>
          </w:p>
          <w:p w:rsidR="009E6BA4" w:rsidRPr="009E6BA4" w:rsidRDefault="009E6BA4" w:rsidP="009E6BA4">
            <w:pPr>
              <w:jc w:val="center"/>
              <w:rPr>
                <w:rFonts w:cs="Arial"/>
                <w:sz w:val="22"/>
                <w:szCs w:val="22"/>
              </w:rPr>
            </w:pPr>
          </w:p>
          <w:p w:rsidR="009E6BA4" w:rsidRPr="009E6BA4" w:rsidRDefault="009E6BA4" w:rsidP="009E6BA4">
            <w:pPr>
              <w:jc w:val="center"/>
              <w:rPr>
                <w:rFonts w:cs="Arial"/>
                <w:sz w:val="22"/>
                <w:szCs w:val="22"/>
              </w:rPr>
            </w:pPr>
            <w:r w:rsidRPr="009E6BA4">
              <w:rPr>
                <w:rFonts w:cs="Arial"/>
                <w:sz w:val="22"/>
                <w:szCs w:val="22"/>
              </w:rPr>
              <w:t>Complete</w:t>
            </w:r>
          </w:p>
        </w:tc>
        <w:tc>
          <w:tcPr>
            <w:tcW w:w="2520" w:type="dxa"/>
            <w:shd w:val="clear" w:color="auto" w:fill="FFFFFF" w:themeFill="background1"/>
          </w:tcPr>
          <w:p w:rsidR="009E6BA4" w:rsidRPr="009E6BA4" w:rsidRDefault="009E6BA4" w:rsidP="009E6BA4">
            <w:pPr>
              <w:rPr>
                <w:rFonts w:cs="Arial"/>
                <w:sz w:val="22"/>
                <w:szCs w:val="22"/>
              </w:rPr>
            </w:pPr>
            <w:r w:rsidRPr="009E6BA4">
              <w:rPr>
                <w:rFonts w:cs="Arial"/>
                <w:sz w:val="22"/>
                <w:szCs w:val="22"/>
              </w:rPr>
              <w:t>A review will take place for the Exceptional Hardship Payment</w:t>
            </w:r>
          </w:p>
          <w:p w:rsidR="009E6BA4" w:rsidRPr="009E6BA4" w:rsidRDefault="009E6BA4" w:rsidP="009E6BA4">
            <w:pPr>
              <w:rPr>
                <w:rFonts w:cs="Arial"/>
                <w:sz w:val="22"/>
                <w:szCs w:val="22"/>
              </w:rPr>
            </w:pPr>
            <w:r w:rsidRPr="009E6BA4">
              <w:rPr>
                <w:rFonts w:cs="Arial"/>
                <w:sz w:val="22"/>
                <w:szCs w:val="22"/>
              </w:rPr>
              <w:t>Policy as part of the Council Tax Support</w:t>
            </w:r>
          </w:p>
          <w:p w:rsidR="009E6BA4" w:rsidRPr="009E6BA4" w:rsidRDefault="009E6BA4" w:rsidP="009E6BA4">
            <w:pPr>
              <w:rPr>
                <w:rFonts w:cs="Arial"/>
                <w:sz w:val="22"/>
                <w:szCs w:val="22"/>
              </w:rPr>
            </w:pPr>
            <w:r w:rsidRPr="009E6BA4">
              <w:rPr>
                <w:rFonts w:cs="Arial"/>
                <w:sz w:val="22"/>
                <w:szCs w:val="22"/>
              </w:rPr>
              <w:t>Scheme for 2020/21, this will include carrying out a consultation on preferred scheme options.</w:t>
            </w:r>
            <w:r w:rsidRPr="009E6BA4">
              <w:rPr>
                <w:rFonts w:cs="Arial"/>
                <w:sz w:val="22"/>
                <w:szCs w:val="22"/>
              </w:rPr>
              <w:br/>
            </w:r>
          </w:p>
        </w:tc>
      </w:tr>
      <w:tr w:rsidR="009E6BA4" w:rsidRPr="009E6BA4" w:rsidTr="00797732">
        <w:trPr>
          <w:trHeight w:val="760"/>
        </w:trPr>
        <w:tc>
          <w:tcPr>
            <w:tcW w:w="2155" w:type="dxa"/>
            <w:shd w:val="clear" w:color="auto" w:fill="auto"/>
          </w:tcPr>
          <w:p w:rsidR="009E6BA4" w:rsidRPr="009E6BA4" w:rsidRDefault="009E6BA4" w:rsidP="009E6BA4">
            <w:pPr>
              <w:ind w:right="261"/>
              <w:contextualSpacing/>
              <w:rPr>
                <w:rFonts w:cs="Arial"/>
                <w:sz w:val="22"/>
                <w:szCs w:val="22"/>
              </w:rPr>
            </w:pPr>
            <w:r w:rsidRPr="009E6BA4">
              <w:rPr>
                <w:rFonts w:cs="Arial"/>
                <w:sz w:val="22"/>
                <w:szCs w:val="22"/>
              </w:rPr>
              <w:t>Develop volunteering strategy framework to support people and communities to be resilient</w:t>
            </w:r>
          </w:p>
        </w:tc>
        <w:tc>
          <w:tcPr>
            <w:tcW w:w="3150" w:type="dxa"/>
            <w:shd w:val="clear" w:color="auto" w:fill="auto"/>
            <w:vAlign w:val="center"/>
          </w:tcPr>
          <w:p w:rsidR="009E6BA4" w:rsidRPr="009E6BA4" w:rsidRDefault="009E6BA4" w:rsidP="009E6BA4">
            <w:pPr>
              <w:rPr>
                <w:rFonts w:cs="Arial"/>
                <w:sz w:val="22"/>
                <w:szCs w:val="22"/>
              </w:rPr>
            </w:pPr>
            <w:r w:rsidRPr="009E6BA4">
              <w:rPr>
                <w:rFonts w:cs="Arial"/>
                <w:sz w:val="22"/>
                <w:szCs w:val="22"/>
              </w:rPr>
              <w:t xml:space="preserve">This has been developed alongside the South </w:t>
            </w:r>
            <w:proofErr w:type="spellStart"/>
            <w:r w:rsidRPr="009E6BA4">
              <w:rPr>
                <w:rFonts w:cs="Arial"/>
                <w:sz w:val="22"/>
                <w:szCs w:val="22"/>
              </w:rPr>
              <w:t>Ribble</w:t>
            </w:r>
            <w:proofErr w:type="spellEnd"/>
            <w:r w:rsidRPr="009E6BA4">
              <w:rPr>
                <w:rFonts w:cs="Arial"/>
                <w:sz w:val="22"/>
                <w:szCs w:val="22"/>
              </w:rPr>
              <w:t xml:space="preserve"> Community Strategy, with additional consultation specific to volunteering and participation also carried out. </w:t>
            </w:r>
          </w:p>
          <w:p w:rsidR="009E6BA4" w:rsidRPr="009E6BA4" w:rsidRDefault="009E6BA4" w:rsidP="009E6BA4">
            <w:pPr>
              <w:rPr>
                <w:rFonts w:cs="Arial"/>
                <w:sz w:val="22"/>
                <w:szCs w:val="22"/>
              </w:rPr>
            </w:pPr>
          </w:p>
          <w:p w:rsidR="009E6BA4" w:rsidRPr="009E6BA4" w:rsidRDefault="009E6BA4" w:rsidP="009E6BA4">
            <w:pPr>
              <w:rPr>
                <w:rFonts w:cs="Arial"/>
                <w:sz w:val="22"/>
                <w:szCs w:val="22"/>
              </w:rPr>
            </w:pPr>
            <w:r w:rsidRPr="009E6BA4">
              <w:rPr>
                <w:rFonts w:cs="Arial"/>
                <w:sz w:val="22"/>
                <w:szCs w:val="22"/>
              </w:rPr>
              <w:t>A drafted strategy has been produced and in agreement with Cabinet, the strategy will be going out for further consultation.  This consultation programme will form the basis of an implementation and action plan to bring the strategy to life.</w:t>
            </w:r>
          </w:p>
          <w:p w:rsidR="009E6BA4" w:rsidRPr="009E6BA4" w:rsidRDefault="009E6BA4" w:rsidP="009E6BA4">
            <w:pPr>
              <w:rPr>
                <w:rFonts w:cs="Arial"/>
                <w:sz w:val="22"/>
                <w:szCs w:val="22"/>
              </w:rPr>
            </w:pPr>
          </w:p>
          <w:p w:rsidR="009E6BA4" w:rsidRPr="009E6BA4" w:rsidRDefault="009E6BA4" w:rsidP="009E6BA4">
            <w:pPr>
              <w:rPr>
                <w:rFonts w:cs="Arial"/>
                <w:sz w:val="22"/>
                <w:szCs w:val="22"/>
              </w:rPr>
            </w:pPr>
            <w:r w:rsidRPr="009E6BA4">
              <w:rPr>
                <w:rFonts w:cs="Arial"/>
                <w:sz w:val="22"/>
                <w:szCs w:val="22"/>
              </w:rPr>
              <w:t xml:space="preserve"> </w:t>
            </w:r>
          </w:p>
          <w:p w:rsidR="009E6BA4" w:rsidRPr="009E6BA4" w:rsidRDefault="009E6BA4" w:rsidP="009E6BA4">
            <w:pPr>
              <w:rPr>
                <w:rFonts w:cs="Arial"/>
                <w:sz w:val="22"/>
                <w:szCs w:val="22"/>
              </w:rPr>
            </w:pPr>
          </w:p>
          <w:p w:rsidR="009E6BA4" w:rsidRPr="009E6BA4" w:rsidRDefault="009E6BA4" w:rsidP="009E6BA4">
            <w:pPr>
              <w:rPr>
                <w:rFonts w:cs="Arial"/>
                <w:sz w:val="22"/>
                <w:szCs w:val="22"/>
              </w:rPr>
            </w:pPr>
          </w:p>
        </w:tc>
        <w:tc>
          <w:tcPr>
            <w:tcW w:w="1260" w:type="dxa"/>
            <w:shd w:val="clear" w:color="auto" w:fill="92D050"/>
          </w:tcPr>
          <w:p w:rsidR="009E6BA4" w:rsidRPr="009E6BA4" w:rsidRDefault="009E6BA4" w:rsidP="009E6BA4">
            <w:pPr>
              <w:jc w:val="center"/>
              <w:rPr>
                <w:rFonts w:cs="Arial"/>
                <w:sz w:val="22"/>
                <w:szCs w:val="22"/>
              </w:rPr>
            </w:pPr>
          </w:p>
          <w:p w:rsidR="009E6BA4" w:rsidRPr="009E6BA4" w:rsidRDefault="009E6BA4" w:rsidP="009E6BA4">
            <w:pPr>
              <w:jc w:val="center"/>
              <w:rPr>
                <w:rFonts w:cs="Arial"/>
                <w:sz w:val="22"/>
                <w:szCs w:val="22"/>
              </w:rPr>
            </w:pPr>
          </w:p>
          <w:p w:rsidR="009E6BA4" w:rsidRPr="009E6BA4" w:rsidRDefault="009E6BA4" w:rsidP="009E6BA4">
            <w:pPr>
              <w:jc w:val="center"/>
              <w:rPr>
                <w:rFonts w:cs="Arial"/>
                <w:sz w:val="22"/>
                <w:szCs w:val="22"/>
              </w:rPr>
            </w:pPr>
            <w:r w:rsidRPr="009E6BA4">
              <w:rPr>
                <w:rFonts w:cs="Arial"/>
                <w:sz w:val="22"/>
                <w:szCs w:val="22"/>
              </w:rPr>
              <w:t>Complete</w:t>
            </w:r>
          </w:p>
        </w:tc>
        <w:tc>
          <w:tcPr>
            <w:tcW w:w="2520" w:type="dxa"/>
            <w:shd w:val="clear" w:color="auto" w:fill="FFFFFF" w:themeFill="background1"/>
          </w:tcPr>
          <w:p w:rsidR="009E6BA4" w:rsidRPr="009E6BA4" w:rsidRDefault="009E6BA4" w:rsidP="009E6BA4">
            <w:pPr>
              <w:rPr>
                <w:rFonts w:cs="Arial"/>
                <w:sz w:val="22"/>
                <w:szCs w:val="22"/>
              </w:rPr>
            </w:pPr>
            <w:r w:rsidRPr="009E6BA4">
              <w:rPr>
                <w:rFonts w:cs="Arial"/>
                <w:sz w:val="22"/>
                <w:szCs w:val="22"/>
              </w:rPr>
              <w:t>Work with partners to deliver actions</w:t>
            </w:r>
          </w:p>
          <w:p w:rsidR="009E6BA4" w:rsidRPr="009E6BA4" w:rsidRDefault="009E6BA4" w:rsidP="009E6BA4">
            <w:pPr>
              <w:rPr>
                <w:rFonts w:cs="Arial"/>
                <w:sz w:val="22"/>
                <w:szCs w:val="22"/>
              </w:rPr>
            </w:pPr>
            <w:r w:rsidRPr="009E6BA4">
              <w:rPr>
                <w:rFonts w:cs="Arial"/>
                <w:sz w:val="22"/>
                <w:szCs w:val="22"/>
              </w:rPr>
              <w:t>identified in the Volunteering</w:t>
            </w:r>
          </w:p>
          <w:p w:rsidR="009E6BA4" w:rsidRPr="009E6BA4" w:rsidRDefault="009E6BA4" w:rsidP="009E6BA4">
            <w:pPr>
              <w:rPr>
                <w:rFonts w:cs="Arial"/>
                <w:sz w:val="22"/>
                <w:szCs w:val="22"/>
              </w:rPr>
            </w:pPr>
            <w:r w:rsidRPr="009E6BA4">
              <w:rPr>
                <w:rFonts w:cs="Arial"/>
                <w:sz w:val="22"/>
                <w:szCs w:val="22"/>
              </w:rPr>
              <w:t>Strategy, with a key outcome going forward being to develop a 'deal' with communities that will support the Council's wider health and wellbeing approach as well as transformation of services.</w:t>
            </w:r>
          </w:p>
        </w:tc>
      </w:tr>
    </w:tbl>
    <w:p w:rsidR="009E6BA4" w:rsidRPr="009E6BA4" w:rsidRDefault="009E6BA4" w:rsidP="009E6BA4">
      <w:pPr>
        <w:spacing w:after="0"/>
      </w:pPr>
    </w:p>
    <w:p w:rsidR="009E6BA4" w:rsidRPr="009E6BA4" w:rsidRDefault="009E6BA4" w:rsidP="009E6BA4">
      <w:pPr>
        <w:spacing w:after="0"/>
        <w:ind w:right="-1"/>
        <w:rPr>
          <w:noProof/>
        </w:rPr>
      </w:pPr>
      <w:r w:rsidRPr="009E6BA4">
        <w:rPr>
          <w:noProof/>
        </w:rPr>
        <w:t>The average number of days taken to process a new housing benefit claim (including weekends) for 2018/19 was 22 days, this being level with the England national average of 22 days.  It is also worth noting that Quarter 4 achieved an average of 19.05 days.  Council Officers have worked hard to maintain high performance despite the impact of Universal Credit.</w:t>
      </w:r>
    </w:p>
    <w:p w:rsidR="009E6BA4" w:rsidRPr="009E6BA4" w:rsidRDefault="009E6BA4" w:rsidP="009E6BA4">
      <w:pPr>
        <w:spacing w:after="0"/>
        <w:ind w:right="-1"/>
        <w:rPr>
          <w:noProof/>
        </w:rPr>
      </w:pPr>
    </w:p>
    <w:p w:rsidR="009E6BA4" w:rsidRPr="009E6BA4" w:rsidRDefault="009E6BA4" w:rsidP="009E6BA4">
      <w:pPr>
        <w:spacing w:after="0"/>
        <w:rPr>
          <w:b/>
          <w:i/>
          <w:noProof/>
        </w:rPr>
      </w:pPr>
      <w:r w:rsidRPr="009E6BA4">
        <w:rPr>
          <w:b/>
          <w:i/>
          <w:noProof/>
        </w:rPr>
        <w:br w:type="page"/>
      </w:r>
    </w:p>
    <w:p w:rsidR="009E6BA4" w:rsidRPr="009E6BA4" w:rsidRDefault="009E6BA4" w:rsidP="009E6BA4">
      <w:pPr>
        <w:spacing w:after="0"/>
        <w:ind w:right="-1"/>
        <w:rPr>
          <w:b/>
          <w:i/>
          <w:noProof/>
        </w:rPr>
      </w:pPr>
      <w:r w:rsidRPr="009E6BA4">
        <w:rPr>
          <w:b/>
          <w:i/>
          <w:noProof/>
        </w:rPr>
        <w:lastRenderedPageBreak/>
        <w:t>Place</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This heading covers the following:</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Cuerden Strategic Site</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Economic Strategy: Supporting Existing and New Businesses</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City Deal and Plan for Successors Programme</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Central Lancashire Core Strategy and South Ribble Local Plan</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Housing Framework: Delivery of a balanced housing market</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Place Promotion</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My Neighbourhood Plans</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River Ribble Masterplan</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Raising Community Aspirations in relation to Growth and Improvements in the Borough</w:t>
      </w:r>
    </w:p>
    <w:p w:rsidR="009E6BA4" w:rsidRPr="009E6BA4" w:rsidRDefault="009E6BA4" w:rsidP="009E6BA4">
      <w:pPr>
        <w:pStyle w:val="ListParagraph"/>
        <w:numPr>
          <w:ilvl w:val="0"/>
          <w:numId w:val="5"/>
        </w:numPr>
        <w:spacing w:after="0" w:line="240" w:lineRule="auto"/>
        <w:ind w:right="-1"/>
        <w:contextualSpacing w:val="0"/>
        <w:jc w:val="both"/>
        <w:rPr>
          <w:noProof/>
        </w:rPr>
      </w:pPr>
      <w:r w:rsidRPr="009E6BA4">
        <w:rPr>
          <w:noProof/>
        </w:rPr>
        <w:t>Renewable Energy</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Examples of progress achieved in 2018/19 are:</w:t>
      </w:r>
    </w:p>
    <w:p w:rsidR="009E6BA4" w:rsidRPr="009E6BA4" w:rsidRDefault="009E6BA4" w:rsidP="009E6BA4">
      <w:pPr>
        <w:spacing w:after="0"/>
        <w:ind w:right="-1"/>
        <w:rPr>
          <w:noProof/>
        </w:rPr>
      </w:pPr>
    </w:p>
    <w:p w:rsidR="009E6BA4" w:rsidRPr="009E6BA4" w:rsidRDefault="009E6BA4" w:rsidP="009E6BA4">
      <w:pPr>
        <w:spacing w:after="0"/>
        <w:ind w:right="-1"/>
        <w:rPr>
          <w:i/>
          <w:noProof/>
        </w:rPr>
      </w:pPr>
      <w:r w:rsidRPr="009E6BA4">
        <w:rPr>
          <w:i/>
          <w:noProof/>
        </w:rPr>
        <w:t>City Deal and Plan for Successors Programme</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The City Deal aims to significantly increase the speed and scale of development across South Ribble and Preston over the next ten years, this includes investment in infrastructure, employment land and housing. South Ribble Borough Council play a crucial role in influencing the direction of this programme, although it is Lancashire County Council that are the leading authority.</w:t>
      </w:r>
    </w:p>
    <w:p w:rsidR="009E6BA4" w:rsidRPr="009E6BA4" w:rsidRDefault="009E6BA4" w:rsidP="009E6BA4">
      <w:pPr>
        <w:spacing w:after="0"/>
        <w:ind w:right="-1"/>
        <w:rPr>
          <w:noProof/>
        </w:rPr>
      </w:pPr>
    </w:p>
    <w:tbl>
      <w:tblPr>
        <w:tblStyle w:val="TableGrid"/>
        <w:tblpPr w:leftFromText="180" w:rightFromText="180" w:vertAnchor="text" w:horzAnchor="margin" w:tblpY="2"/>
        <w:tblW w:w="9085" w:type="dxa"/>
        <w:tblLook w:val="04A0" w:firstRow="1" w:lastRow="0" w:firstColumn="1" w:lastColumn="0" w:noHBand="0" w:noVBand="1"/>
      </w:tblPr>
      <w:tblGrid>
        <w:gridCol w:w="2155"/>
        <w:gridCol w:w="3150"/>
        <w:gridCol w:w="1260"/>
        <w:gridCol w:w="2520"/>
      </w:tblGrid>
      <w:tr w:rsidR="009E6BA4" w:rsidRPr="009E6BA4" w:rsidTr="00797732">
        <w:trPr>
          <w:trHeight w:val="440"/>
        </w:trPr>
        <w:tc>
          <w:tcPr>
            <w:tcW w:w="2155"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Project (s):</w:t>
            </w:r>
          </w:p>
        </w:tc>
        <w:tc>
          <w:tcPr>
            <w:tcW w:w="3150"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2018/19 Performance Update</w:t>
            </w:r>
          </w:p>
        </w:tc>
        <w:tc>
          <w:tcPr>
            <w:tcW w:w="1260"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Status</w:t>
            </w:r>
          </w:p>
        </w:tc>
        <w:tc>
          <w:tcPr>
            <w:tcW w:w="2520" w:type="dxa"/>
            <w:shd w:val="clear" w:color="auto" w:fill="2F5496" w:themeFill="accent5" w:themeFillShade="BF"/>
          </w:tcPr>
          <w:p w:rsidR="009E6BA4" w:rsidRPr="009E6BA4" w:rsidRDefault="009E6BA4" w:rsidP="009E6BA4">
            <w:pPr>
              <w:jc w:val="center"/>
              <w:rPr>
                <w:rFonts w:cs="Arial"/>
                <w:b/>
                <w:color w:val="FFFFFF" w:themeColor="background1"/>
                <w:sz w:val="22"/>
                <w:szCs w:val="22"/>
              </w:rPr>
            </w:pPr>
            <w:r w:rsidRPr="009E6BA4">
              <w:rPr>
                <w:rFonts w:cs="Arial"/>
                <w:b/>
                <w:color w:val="FFFFFF" w:themeColor="background1"/>
                <w:sz w:val="22"/>
                <w:szCs w:val="22"/>
              </w:rPr>
              <w:t>Next Steps in 2019/20</w:t>
            </w:r>
          </w:p>
        </w:tc>
      </w:tr>
      <w:tr w:rsidR="009E6BA4" w:rsidRPr="009E6BA4" w:rsidTr="00797732">
        <w:trPr>
          <w:trHeight w:val="760"/>
        </w:trPr>
        <w:tc>
          <w:tcPr>
            <w:tcW w:w="2155" w:type="dxa"/>
            <w:shd w:val="clear" w:color="auto" w:fill="auto"/>
          </w:tcPr>
          <w:p w:rsidR="009E6BA4" w:rsidRPr="009E6BA4" w:rsidRDefault="009E6BA4" w:rsidP="009E6BA4">
            <w:pPr>
              <w:ind w:right="261"/>
              <w:rPr>
                <w:rFonts w:cs="Arial"/>
                <w:color w:val="000000" w:themeColor="text1"/>
                <w:sz w:val="22"/>
                <w:szCs w:val="22"/>
              </w:rPr>
            </w:pPr>
            <w:r w:rsidRPr="009E6BA4">
              <w:rPr>
                <w:rFonts w:cs="Arial"/>
                <w:sz w:val="22"/>
                <w:szCs w:val="22"/>
              </w:rPr>
              <w:t>Work with partners and developers to increase the rate of delivery of new homes and commercial floor space by unlocking City Deal sites</w:t>
            </w:r>
          </w:p>
        </w:tc>
        <w:tc>
          <w:tcPr>
            <w:tcW w:w="3150" w:type="dxa"/>
            <w:shd w:val="clear" w:color="auto" w:fill="auto"/>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The end of year completion survey has been undertaken and shows step change in delivery. Furthermore, over 490 units have been delivered, this being 417 above target.</w:t>
            </w:r>
          </w:p>
          <w:p w:rsidR="009E6BA4" w:rsidRPr="009E6BA4" w:rsidRDefault="009E6BA4" w:rsidP="009E6BA4">
            <w:pPr>
              <w:rPr>
                <w:rFonts w:cs="Arial"/>
                <w:color w:val="000000" w:themeColor="text1"/>
                <w:sz w:val="22"/>
                <w:szCs w:val="22"/>
              </w:rPr>
            </w:pPr>
          </w:p>
        </w:tc>
        <w:tc>
          <w:tcPr>
            <w:tcW w:w="1260" w:type="dxa"/>
            <w:shd w:val="clear" w:color="auto" w:fill="92D050"/>
          </w:tcPr>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r w:rsidRPr="009E6BA4">
              <w:rPr>
                <w:rFonts w:cs="Arial"/>
                <w:color w:val="000000" w:themeColor="text1"/>
                <w:sz w:val="22"/>
                <w:szCs w:val="22"/>
              </w:rPr>
              <w:t>On-track</w:t>
            </w:r>
          </w:p>
        </w:tc>
        <w:tc>
          <w:tcPr>
            <w:tcW w:w="2520" w:type="dxa"/>
            <w:shd w:val="clear" w:color="auto" w:fill="FFFFFF" w:themeFill="background1"/>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Act as an enabling authority whilst working with partners and developers to increase the rate of delivery of new homes and commercial floor space by unlocking City Deal sites, prioritising infrastructure development.</w:t>
            </w:r>
          </w:p>
        </w:tc>
      </w:tr>
      <w:tr w:rsidR="009E6BA4" w:rsidRPr="009E6BA4" w:rsidTr="00797732">
        <w:trPr>
          <w:trHeight w:val="760"/>
        </w:trPr>
        <w:tc>
          <w:tcPr>
            <w:tcW w:w="2155" w:type="dxa"/>
            <w:shd w:val="clear" w:color="auto" w:fill="auto"/>
          </w:tcPr>
          <w:p w:rsidR="009E6BA4" w:rsidRPr="009E6BA4" w:rsidRDefault="009E6BA4" w:rsidP="009E6BA4">
            <w:pPr>
              <w:ind w:right="261"/>
              <w:rPr>
                <w:rFonts w:cs="Arial"/>
                <w:color w:val="000000" w:themeColor="text1"/>
                <w:sz w:val="22"/>
                <w:szCs w:val="22"/>
              </w:rPr>
            </w:pPr>
            <w:r w:rsidRPr="009E6BA4">
              <w:rPr>
                <w:rFonts w:cs="Arial"/>
                <w:color w:val="000000" w:themeColor="text1"/>
                <w:sz w:val="22"/>
                <w:szCs w:val="22"/>
              </w:rPr>
              <w:t>Deliver projects listed in the City Deal Business and Delivery Plan 2017/20</w:t>
            </w:r>
          </w:p>
          <w:p w:rsidR="009E6BA4" w:rsidRPr="009E6BA4" w:rsidRDefault="009E6BA4" w:rsidP="009E6BA4">
            <w:pPr>
              <w:ind w:right="261"/>
              <w:rPr>
                <w:rFonts w:cs="Arial"/>
                <w:color w:val="000000" w:themeColor="text1"/>
                <w:sz w:val="22"/>
                <w:szCs w:val="22"/>
              </w:rPr>
            </w:pPr>
          </w:p>
        </w:tc>
        <w:tc>
          <w:tcPr>
            <w:tcW w:w="3150" w:type="dxa"/>
            <w:shd w:val="clear" w:color="auto" w:fill="auto"/>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A mid-term review has been ongoing for the majority of the year which has led to delays. Completion is now forecasted for July 2019.</w:t>
            </w:r>
          </w:p>
          <w:p w:rsidR="009E6BA4" w:rsidRPr="009E6BA4" w:rsidRDefault="009E6BA4" w:rsidP="009E6BA4">
            <w:pPr>
              <w:rPr>
                <w:rFonts w:cs="Arial"/>
                <w:color w:val="000000" w:themeColor="text1"/>
                <w:sz w:val="22"/>
                <w:szCs w:val="22"/>
              </w:rPr>
            </w:pPr>
          </w:p>
        </w:tc>
        <w:tc>
          <w:tcPr>
            <w:tcW w:w="1260" w:type="dxa"/>
            <w:shd w:val="clear" w:color="auto" w:fill="FFC000"/>
          </w:tcPr>
          <w:p w:rsidR="009E6BA4" w:rsidRPr="009E6BA4" w:rsidRDefault="009E6BA4" w:rsidP="009E6BA4">
            <w:pPr>
              <w:pStyle w:val="ListParagraph"/>
              <w:ind w:left="0"/>
              <w:jc w:val="center"/>
              <w:rPr>
                <w:rFonts w:cs="Arial"/>
                <w:color w:val="000000" w:themeColor="text1"/>
                <w:sz w:val="22"/>
                <w:szCs w:val="22"/>
              </w:rPr>
            </w:pPr>
          </w:p>
          <w:p w:rsidR="009E6BA4" w:rsidRPr="009E6BA4" w:rsidRDefault="009E6BA4" w:rsidP="009E6BA4">
            <w:pPr>
              <w:pStyle w:val="ListParagraph"/>
              <w:ind w:left="0"/>
              <w:jc w:val="center"/>
              <w:rPr>
                <w:rFonts w:cs="Arial"/>
                <w:color w:val="000000" w:themeColor="text1"/>
                <w:sz w:val="22"/>
                <w:szCs w:val="22"/>
              </w:rPr>
            </w:pPr>
            <w:r w:rsidRPr="009E6BA4">
              <w:rPr>
                <w:rFonts w:cs="Arial"/>
                <w:color w:val="000000" w:themeColor="text1"/>
                <w:sz w:val="22"/>
                <w:szCs w:val="22"/>
              </w:rPr>
              <w:t>Off-track</w:t>
            </w:r>
          </w:p>
        </w:tc>
        <w:tc>
          <w:tcPr>
            <w:tcW w:w="2520" w:type="dxa"/>
            <w:shd w:val="clear" w:color="auto" w:fill="FFFFFF" w:themeFill="background1"/>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Carry out a strategic review of projects listed in the City Deal Business and Delivery Plan 2017/20, identify priorities and commence delivery.</w:t>
            </w:r>
          </w:p>
        </w:tc>
      </w:tr>
      <w:tr w:rsidR="009E6BA4" w:rsidRPr="009E6BA4" w:rsidTr="00797732">
        <w:trPr>
          <w:trHeight w:val="760"/>
        </w:trPr>
        <w:tc>
          <w:tcPr>
            <w:tcW w:w="2155" w:type="dxa"/>
            <w:vMerge w:val="restart"/>
            <w:shd w:val="clear" w:color="auto" w:fill="auto"/>
            <w:vAlign w:val="center"/>
          </w:tcPr>
          <w:p w:rsidR="009E6BA4" w:rsidRPr="009E6BA4" w:rsidRDefault="009E6BA4" w:rsidP="009E6BA4">
            <w:pPr>
              <w:ind w:right="261"/>
              <w:rPr>
                <w:rFonts w:cs="Arial"/>
                <w:color w:val="000000" w:themeColor="text1"/>
                <w:sz w:val="22"/>
                <w:szCs w:val="22"/>
              </w:rPr>
            </w:pPr>
            <w:r w:rsidRPr="009E6BA4">
              <w:rPr>
                <w:rFonts w:cs="Arial"/>
                <w:color w:val="000000" w:themeColor="text1"/>
                <w:sz w:val="22"/>
                <w:szCs w:val="22"/>
              </w:rPr>
              <w:t xml:space="preserve">Masterplans for Penwortham, </w:t>
            </w:r>
            <w:proofErr w:type="spellStart"/>
            <w:r w:rsidRPr="009E6BA4">
              <w:rPr>
                <w:rFonts w:cs="Arial"/>
                <w:color w:val="000000" w:themeColor="text1"/>
                <w:sz w:val="22"/>
                <w:szCs w:val="22"/>
              </w:rPr>
              <w:t>Lostock</w:t>
            </w:r>
            <w:proofErr w:type="spellEnd"/>
            <w:r w:rsidRPr="009E6BA4">
              <w:rPr>
                <w:rFonts w:cs="Arial"/>
                <w:color w:val="000000" w:themeColor="text1"/>
                <w:sz w:val="22"/>
                <w:szCs w:val="22"/>
              </w:rPr>
              <w:t xml:space="preserve"> Hall and Leyland town</w:t>
            </w:r>
          </w:p>
          <w:p w:rsidR="009E6BA4" w:rsidRPr="009E6BA4" w:rsidRDefault="009E6BA4" w:rsidP="009E6BA4">
            <w:pPr>
              <w:ind w:right="261"/>
              <w:rPr>
                <w:rFonts w:cs="Arial"/>
                <w:color w:val="000000" w:themeColor="text1"/>
                <w:sz w:val="22"/>
                <w:szCs w:val="22"/>
              </w:rPr>
            </w:pPr>
            <w:r w:rsidRPr="009E6BA4">
              <w:rPr>
                <w:rFonts w:cs="Arial"/>
                <w:color w:val="000000" w:themeColor="text1"/>
                <w:sz w:val="22"/>
                <w:szCs w:val="22"/>
              </w:rPr>
              <w:t>centres</w:t>
            </w:r>
          </w:p>
        </w:tc>
        <w:tc>
          <w:tcPr>
            <w:tcW w:w="3150" w:type="dxa"/>
            <w:shd w:val="clear" w:color="auto" w:fill="auto"/>
          </w:tcPr>
          <w:p w:rsidR="009E6BA4" w:rsidRPr="009E6BA4" w:rsidRDefault="009E6BA4" w:rsidP="009E6BA4">
            <w:pPr>
              <w:rPr>
                <w:rFonts w:cs="Arial"/>
                <w:color w:val="000000" w:themeColor="text1"/>
                <w:sz w:val="22"/>
                <w:szCs w:val="22"/>
              </w:rPr>
            </w:pPr>
            <w:r w:rsidRPr="009E6BA4">
              <w:rPr>
                <w:rFonts w:cs="Arial"/>
                <w:b/>
                <w:color w:val="000000" w:themeColor="text1"/>
                <w:sz w:val="22"/>
                <w:szCs w:val="22"/>
                <w:u w:val="single"/>
              </w:rPr>
              <w:t>Penwortham</w:t>
            </w:r>
            <w:proofErr w:type="gramStart"/>
            <w:r w:rsidRPr="009E6BA4">
              <w:rPr>
                <w:rFonts w:cs="Arial"/>
                <w:b/>
                <w:color w:val="000000" w:themeColor="text1"/>
                <w:sz w:val="22"/>
                <w:szCs w:val="22"/>
                <w:u w:val="single"/>
              </w:rPr>
              <w:t>:</w:t>
            </w:r>
            <w:proofErr w:type="gramEnd"/>
            <w:r w:rsidRPr="009E6BA4">
              <w:rPr>
                <w:rFonts w:cs="Arial"/>
                <w:b/>
                <w:color w:val="000000" w:themeColor="text1"/>
                <w:sz w:val="22"/>
                <w:szCs w:val="22"/>
                <w:u w:val="single"/>
              </w:rPr>
              <w:br/>
            </w:r>
            <w:r w:rsidRPr="009E6BA4">
              <w:rPr>
                <w:rFonts w:cs="Arial"/>
                <w:color w:val="000000" w:themeColor="text1"/>
                <w:sz w:val="22"/>
                <w:szCs w:val="22"/>
              </w:rPr>
              <w:t xml:space="preserve">Public Consultation took place in September 2018, following this there was some delay as County Highways staff were redirected into a Public Enquiry for some time. Work has commenced on drafting the scheme, with discussions to take place between South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Borough </w:t>
            </w:r>
            <w:r w:rsidRPr="009E6BA4">
              <w:rPr>
                <w:rFonts w:cs="Arial"/>
                <w:color w:val="000000" w:themeColor="text1"/>
                <w:sz w:val="22"/>
                <w:szCs w:val="22"/>
              </w:rPr>
              <w:lastRenderedPageBreak/>
              <w:t>Council and Lancashire County Council regarding funding which will help inform the detail of the programme.</w:t>
            </w:r>
          </w:p>
        </w:tc>
        <w:tc>
          <w:tcPr>
            <w:tcW w:w="1260" w:type="dxa"/>
            <w:shd w:val="clear" w:color="auto" w:fill="92D050"/>
          </w:tcPr>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r w:rsidRPr="009E6BA4">
              <w:rPr>
                <w:rFonts w:cs="Arial"/>
                <w:color w:val="000000" w:themeColor="text1"/>
                <w:sz w:val="22"/>
                <w:szCs w:val="22"/>
              </w:rPr>
              <w:t>On-track</w:t>
            </w:r>
          </w:p>
        </w:tc>
        <w:tc>
          <w:tcPr>
            <w:tcW w:w="2520" w:type="dxa"/>
            <w:vMerge w:val="restart"/>
            <w:shd w:val="clear" w:color="auto" w:fill="FFFFFF" w:themeFill="background1"/>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 xml:space="preserve">Further scoping will be carried out and masterplans will be developed for key centres (Leyland, Bamber Bridge, and Penwortham) in South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This will include including consultation with key stakeholders, including </w:t>
            </w:r>
            <w:r w:rsidRPr="009E6BA4">
              <w:rPr>
                <w:rFonts w:cs="Arial"/>
                <w:color w:val="000000" w:themeColor="text1"/>
                <w:sz w:val="22"/>
                <w:szCs w:val="22"/>
              </w:rPr>
              <w:lastRenderedPageBreak/>
              <w:t>local residents, businesses, and partners. Following this delivery of agreed improvements will commence.</w:t>
            </w:r>
          </w:p>
          <w:p w:rsidR="009E6BA4" w:rsidRPr="009E6BA4" w:rsidRDefault="009E6BA4" w:rsidP="009E6BA4">
            <w:pPr>
              <w:rPr>
                <w:rFonts w:cs="Arial"/>
                <w:color w:val="000000" w:themeColor="text1"/>
                <w:sz w:val="22"/>
                <w:szCs w:val="22"/>
              </w:rPr>
            </w:pPr>
          </w:p>
        </w:tc>
      </w:tr>
      <w:tr w:rsidR="009E6BA4" w:rsidRPr="009E6BA4" w:rsidTr="00797732">
        <w:trPr>
          <w:trHeight w:val="760"/>
        </w:trPr>
        <w:tc>
          <w:tcPr>
            <w:tcW w:w="2155" w:type="dxa"/>
            <w:vMerge/>
            <w:shd w:val="clear" w:color="auto" w:fill="auto"/>
            <w:vAlign w:val="center"/>
          </w:tcPr>
          <w:p w:rsidR="009E6BA4" w:rsidRPr="009E6BA4" w:rsidRDefault="009E6BA4" w:rsidP="009E6BA4">
            <w:pPr>
              <w:ind w:right="261"/>
              <w:rPr>
                <w:rFonts w:cs="Arial"/>
                <w:b/>
                <w:color w:val="000000" w:themeColor="text1"/>
                <w:sz w:val="22"/>
                <w:szCs w:val="22"/>
              </w:rPr>
            </w:pPr>
          </w:p>
        </w:tc>
        <w:tc>
          <w:tcPr>
            <w:tcW w:w="3150" w:type="dxa"/>
            <w:shd w:val="clear" w:color="auto" w:fill="auto"/>
          </w:tcPr>
          <w:p w:rsidR="009E6BA4" w:rsidRPr="009E6BA4" w:rsidRDefault="009E6BA4" w:rsidP="009E6BA4">
            <w:pPr>
              <w:rPr>
                <w:rFonts w:cs="Arial"/>
                <w:b/>
                <w:color w:val="000000" w:themeColor="text1"/>
                <w:sz w:val="22"/>
                <w:szCs w:val="22"/>
                <w:u w:val="single"/>
              </w:rPr>
            </w:pPr>
            <w:r w:rsidRPr="009E6BA4">
              <w:rPr>
                <w:rFonts w:cs="Arial"/>
                <w:b/>
                <w:color w:val="000000" w:themeColor="text1"/>
                <w:sz w:val="22"/>
                <w:szCs w:val="22"/>
                <w:u w:val="single"/>
              </w:rPr>
              <w:t>Leyland</w:t>
            </w:r>
            <w:proofErr w:type="gramStart"/>
            <w:r w:rsidRPr="009E6BA4">
              <w:rPr>
                <w:rFonts w:cs="Arial"/>
                <w:b/>
                <w:color w:val="000000" w:themeColor="text1"/>
                <w:sz w:val="22"/>
                <w:szCs w:val="22"/>
                <w:u w:val="single"/>
              </w:rPr>
              <w:t>:</w:t>
            </w:r>
            <w:proofErr w:type="gramEnd"/>
            <w:r w:rsidRPr="009E6BA4">
              <w:rPr>
                <w:rFonts w:cs="Arial"/>
                <w:b/>
                <w:color w:val="000000" w:themeColor="text1"/>
                <w:sz w:val="22"/>
                <w:szCs w:val="22"/>
                <w:u w:val="single"/>
              </w:rPr>
              <w:br/>
            </w:r>
            <w:r w:rsidRPr="009E6BA4">
              <w:rPr>
                <w:rFonts w:cs="Arial"/>
                <w:color w:val="000000" w:themeColor="text1"/>
                <w:sz w:val="22"/>
                <w:szCs w:val="22"/>
              </w:rPr>
              <w:t xml:space="preserve">An Initial Options Assessment presentation has been made to Leyland Town Centre Team, and </w:t>
            </w:r>
            <w:r w:rsidRPr="009E6BA4">
              <w:rPr>
                <w:rFonts w:cs="Arial"/>
                <w:sz w:val="22"/>
                <w:szCs w:val="22"/>
              </w:rPr>
              <w:t>f</w:t>
            </w:r>
            <w:r w:rsidRPr="009E6BA4">
              <w:rPr>
                <w:rFonts w:cs="Arial"/>
                <w:color w:val="000000" w:themeColor="text1"/>
                <w:sz w:val="22"/>
                <w:szCs w:val="22"/>
              </w:rPr>
              <w:t>inal draft of the Masterplan to be prepared before public consultation in the Summer.</w:t>
            </w:r>
          </w:p>
        </w:tc>
        <w:tc>
          <w:tcPr>
            <w:tcW w:w="1260" w:type="dxa"/>
            <w:shd w:val="clear" w:color="auto" w:fill="92D050"/>
          </w:tcPr>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r w:rsidRPr="009E6BA4">
              <w:rPr>
                <w:rFonts w:cs="Arial"/>
                <w:color w:val="000000" w:themeColor="text1"/>
                <w:sz w:val="22"/>
                <w:szCs w:val="22"/>
              </w:rPr>
              <w:t>On-track</w:t>
            </w:r>
          </w:p>
        </w:tc>
        <w:tc>
          <w:tcPr>
            <w:tcW w:w="2520" w:type="dxa"/>
            <w:vMerge/>
            <w:shd w:val="clear" w:color="auto" w:fill="FFFFFF" w:themeFill="background1"/>
          </w:tcPr>
          <w:p w:rsidR="009E6BA4" w:rsidRPr="009E6BA4" w:rsidRDefault="009E6BA4" w:rsidP="009E6BA4">
            <w:pPr>
              <w:rPr>
                <w:rFonts w:cs="Arial"/>
                <w:sz w:val="22"/>
                <w:szCs w:val="22"/>
              </w:rPr>
            </w:pPr>
          </w:p>
        </w:tc>
      </w:tr>
      <w:tr w:rsidR="009E6BA4" w:rsidRPr="009E6BA4" w:rsidTr="00797732">
        <w:trPr>
          <w:trHeight w:val="760"/>
        </w:trPr>
        <w:tc>
          <w:tcPr>
            <w:tcW w:w="2155" w:type="dxa"/>
            <w:vMerge/>
            <w:shd w:val="clear" w:color="auto" w:fill="auto"/>
            <w:vAlign w:val="center"/>
          </w:tcPr>
          <w:p w:rsidR="009E6BA4" w:rsidRPr="009E6BA4" w:rsidRDefault="009E6BA4" w:rsidP="009E6BA4">
            <w:pPr>
              <w:ind w:right="261"/>
              <w:rPr>
                <w:rFonts w:cs="Arial"/>
                <w:b/>
                <w:color w:val="000000" w:themeColor="text1"/>
                <w:sz w:val="22"/>
                <w:szCs w:val="22"/>
              </w:rPr>
            </w:pPr>
          </w:p>
        </w:tc>
        <w:tc>
          <w:tcPr>
            <w:tcW w:w="3150" w:type="dxa"/>
            <w:shd w:val="clear" w:color="auto" w:fill="auto"/>
          </w:tcPr>
          <w:p w:rsidR="009E6BA4" w:rsidRPr="009E6BA4" w:rsidRDefault="009E6BA4" w:rsidP="009E6BA4">
            <w:pPr>
              <w:rPr>
                <w:rFonts w:cs="Arial"/>
                <w:b/>
                <w:color w:val="000000" w:themeColor="text1"/>
                <w:sz w:val="22"/>
                <w:szCs w:val="22"/>
                <w:u w:val="single"/>
              </w:rPr>
            </w:pPr>
            <w:proofErr w:type="spellStart"/>
            <w:r w:rsidRPr="009E6BA4">
              <w:rPr>
                <w:rFonts w:cs="Arial"/>
                <w:b/>
                <w:color w:val="000000" w:themeColor="text1"/>
                <w:sz w:val="22"/>
                <w:szCs w:val="22"/>
                <w:u w:val="single"/>
              </w:rPr>
              <w:t>Lostock</w:t>
            </w:r>
            <w:proofErr w:type="spellEnd"/>
            <w:r w:rsidRPr="009E6BA4">
              <w:rPr>
                <w:rFonts w:cs="Arial"/>
                <w:b/>
                <w:color w:val="000000" w:themeColor="text1"/>
                <w:sz w:val="22"/>
                <w:szCs w:val="22"/>
                <w:u w:val="single"/>
              </w:rPr>
              <w:t xml:space="preserve"> Hall:</w:t>
            </w:r>
          </w:p>
          <w:p w:rsidR="009E6BA4" w:rsidRPr="009E6BA4" w:rsidRDefault="009E6BA4" w:rsidP="009E6BA4">
            <w:pPr>
              <w:rPr>
                <w:rFonts w:cs="Arial"/>
                <w:b/>
                <w:color w:val="000000" w:themeColor="text1"/>
                <w:sz w:val="22"/>
                <w:szCs w:val="22"/>
                <w:u w:val="single"/>
              </w:rPr>
            </w:pPr>
            <w:r w:rsidRPr="009E6BA4">
              <w:rPr>
                <w:rFonts w:cs="Arial"/>
                <w:color w:val="000000" w:themeColor="text1"/>
                <w:sz w:val="22"/>
                <w:szCs w:val="22"/>
              </w:rPr>
              <w:t>No progress has been made on this project, this   will be influenced by any permissions given on the Pickering’s Farm Major Development Site.</w:t>
            </w:r>
          </w:p>
        </w:tc>
        <w:tc>
          <w:tcPr>
            <w:tcW w:w="1260" w:type="dxa"/>
            <w:shd w:val="clear" w:color="auto" w:fill="FFC000"/>
          </w:tcPr>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r w:rsidRPr="009E6BA4">
              <w:rPr>
                <w:rFonts w:cs="Arial"/>
                <w:color w:val="000000" w:themeColor="text1"/>
                <w:sz w:val="22"/>
                <w:szCs w:val="22"/>
              </w:rPr>
              <w:t>Off-track</w:t>
            </w:r>
          </w:p>
        </w:tc>
        <w:tc>
          <w:tcPr>
            <w:tcW w:w="2520" w:type="dxa"/>
            <w:vMerge/>
            <w:shd w:val="clear" w:color="auto" w:fill="FFFFFF" w:themeFill="background1"/>
          </w:tcPr>
          <w:p w:rsidR="009E6BA4" w:rsidRPr="009E6BA4" w:rsidRDefault="009E6BA4" w:rsidP="009E6BA4">
            <w:pPr>
              <w:rPr>
                <w:rFonts w:cs="Arial"/>
                <w:sz w:val="22"/>
                <w:szCs w:val="22"/>
              </w:rPr>
            </w:pPr>
          </w:p>
        </w:tc>
      </w:tr>
    </w:tbl>
    <w:p w:rsidR="009E6BA4" w:rsidRPr="009E6BA4" w:rsidRDefault="009E6BA4" w:rsidP="009E6BA4">
      <w:pPr>
        <w:spacing w:after="0"/>
        <w:ind w:right="-1"/>
        <w:rPr>
          <w:noProof/>
        </w:rPr>
      </w:pPr>
    </w:p>
    <w:p w:rsidR="009E6BA4" w:rsidRPr="009E6BA4" w:rsidRDefault="009E6BA4" w:rsidP="009E6BA4">
      <w:pPr>
        <w:spacing w:after="0"/>
        <w:ind w:right="-1"/>
        <w:rPr>
          <w:i/>
          <w:noProof/>
        </w:rPr>
      </w:pPr>
      <w:r w:rsidRPr="009E6BA4">
        <w:rPr>
          <w:i/>
          <w:noProof/>
        </w:rPr>
        <w:t>Place Promotion</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The Place Promotion programme aims to promote South Ribble both within local communities through investing in community events and festivals, but also on a regional and national level in order to attract more residents and businesses to choose South Ribble as a place to live, work, play, and do business.</w:t>
      </w:r>
    </w:p>
    <w:p w:rsidR="009E6BA4" w:rsidRPr="009E6BA4" w:rsidRDefault="009E6BA4" w:rsidP="009E6BA4">
      <w:pPr>
        <w:spacing w:after="0"/>
        <w:ind w:right="-1"/>
        <w:rPr>
          <w:noProof/>
        </w:rPr>
      </w:pPr>
    </w:p>
    <w:tbl>
      <w:tblPr>
        <w:tblStyle w:val="TableGrid"/>
        <w:tblpPr w:leftFromText="180" w:rightFromText="180" w:vertAnchor="text" w:horzAnchor="margin" w:tblpY="2"/>
        <w:tblW w:w="9085" w:type="dxa"/>
        <w:tblLook w:val="04A0" w:firstRow="1" w:lastRow="0" w:firstColumn="1" w:lastColumn="0" w:noHBand="0" w:noVBand="1"/>
      </w:tblPr>
      <w:tblGrid>
        <w:gridCol w:w="2155"/>
        <w:gridCol w:w="3150"/>
        <w:gridCol w:w="1260"/>
        <w:gridCol w:w="2520"/>
      </w:tblGrid>
      <w:tr w:rsidR="009E6BA4" w:rsidRPr="009E6BA4" w:rsidTr="00797732">
        <w:trPr>
          <w:trHeight w:val="440"/>
        </w:trPr>
        <w:tc>
          <w:tcPr>
            <w:tcW w:w="2155"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Project (s):</w:t>
            </w:r>
          </w:p>
        </w:tc>
        <w:tc>
          <w:tcPr>
            <w:tcW w:w="3150"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2018/19 Performance Update</w:t>
            </w:r>
          </w:p>
        </w:tc>
        <w:tc>
          <w:tcPr>
            <w:tcW w:w="1260"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Status</w:t>
            </w:r>
          </w:p>
        </w:tc>
        <w:tc>
          <w:tcPr>
            <w:tcW w:w="2520" w:type="dxa"/>
            <w:shd w:val="clear" w:color="auto" w:fill="2F5496" w:themeFill="accent5" w:themeFillShade="BF"/>
          </w:tcPr>
          <w:p w:rsidR="009E6BA4" w:rsidRPr="009E6BA4" w:rsidRDefault="009E6BA4" w:rsidP="009E6BA4">
            <w:pPr>
              <w:jc w:val="center"/>
              <w:rPr>
                <w:rFonts w:cs="Arial"/>
                <w:b/>
                <w:color w:val="FFFFFF" w:themeColor="background1"/>
                <w:sz w:val="22"/>
                <w:szCs w:val="22"/>
              </w:rPr>
            </w:pPr>
            <w:r w:rsidRPr="009E6BA4">
              <w:rPr>
                <w:rFonts w:cs="Arial"/>
                <w:b/>
                <w:color w:val="FFFFFF" w:themeColor="background1"/>
                <w:sz w:val="22"/>
                <w:szCs w:val="22"/>
              </w:rPr>
              <w:t>Next Steps in 2019/20</w:t>
            </w:r>
          </w:p>
        </w:tc>
      </w:tr>
      <w:tr w:rsidR="009E6BA4" w:rsidRPr="009E6BA4" w:rsidTr="00797732">
        <w:trPr>
          <w:trHeight w:val="760"/>
        </w:trPr>
        <w:tc>
          <w:tcPr>
            <w:tcW w:w="2155" w:type="dxa"/>
            <w:shd w:val="clear" w:color="auto" w:fill="auto"/>
          </w:tcPr>
          <w:p w:rsidR="009E6BA4" w:rsidRPr="009E6BA4" w:rsidRDefault="009E6BA4" w:rsidP="009E6BA4">
            <w:pPr>
              <w:ind w:right="261"/>
              <w:contextualSpacing/>
              <w:rPr>
                <w:rFonts w:cs="Arial"/>
                <w:color w:val="000000" w:themeColor="text1"/>
                <w:sz w:val="22"/>
                <w:szCs w:val="22"/>
              </w:rPr>
            </w:pPr>
            <w:r w:rsidRPr="009E6BA4">
              <w:rPr>
                <w:rFonts w:cs="Arial"/>
                <w:color w:val="000000" w:themeColor="text1"/>
                <w:sz w:val="22"/>
                <w:szCs w:val="22"/>
              </w:rPr>
              <w:t xml:space="preserve">Invest Central Lancashire and South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Inward Investment Marketing Plan/Activity</w:t>
            </w:r>
          </w:p>
        </w:tc>
        <w:tc>
          <w:tcPr>
            <w:tcW w:w="3150" w:type="dxa"/>
            <w:shd w:val="clear" w:color="auto" w:fill="auto"/>
            <w:vAlign w:val="center"/>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 xml:space="preserve">This has included the joint promotion of investment opportunities with City Deal partners, working with industry partners such as Place Northwest and direct promotion through relevant business media. New materials have been produced both with City Deal branding and with 'Business in South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and Apprentice Factory branding, all promoting the investment opportunities and support in South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South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attended MIPIM UK as a partner on the Lancashire stand, which was a major opportunity to reach the wider target market and that was complemented by more focussed Place Northwest Development updates at Lancashire level.</w:t>
            </w:r>
          </w:p>
        </w:tc>
        <w:tc>
          <w:tcPr>
            <w:tcW w:w="1260" w:type="dxa"/>
            <w:shd w:val="clear" w:color="auto" w:fill="92D050"/>
          </w:tcPr>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r w:rsidRPr="009E6BA4">
              <w:rPr>
                <w:rFonts w:cs="Arial"/>
                <w:color w:val="000000" w:themeColor="text1"/>
                <w:sz w:val="22"/>
                <w:szCs w:val="22"/>
              </w:rPr>
              <w:t>On-track</w:t>
            </w:r>
          </w:p>
        </w:tc>
        <w:tc>
          <w:tcPr>
            <w:tcW w:w="2520" w:type="dxa"/>
            <w:shd w:val="clear" w:color="auto" w:fill="FFFFFF" w:themeFill="background1"/>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 xml:space="preserve">Develop Invest Central Lancashire and South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Inward Investment Marketing Plan/Activity, and deliver actions.</w:t>
            </w:r>
          </w:p>
        </w:tc>
      </w:tr>
    </w:tbl>
    <w:p w:rsidR="009E6BA4" w:rsidRPr="009E6BA4" w:rsidRDefault="009E6BA4" w:rsidP="009E6BA4">
      <w:pPr>
        <w:spacing w:after="0"/>
      </w:pPr>
      <w:r w:rsidRPr="009E6BA4">
        <w:br w:type="page"/>
      </w:r>
    </w:p>
    <w:tbl>
      <w:tblPr>
        <w:tblStyle w:val="TableGrid"/>
        <w:tblpPr w:leftFromText="180" w:rightFromText="180" w:vertAnchor="text" w:horzAnchor="margin" w:tblpY="2"/>
        <w:tblW w:w="9085" w:type="dxa"/>
        <w:tblLook w:val="04A0" w:firstRow="1" w:lastRow="0" w:firstColumn="1" w:lastColumn="0" w:noHBand="0" w:noVBand="1"/>
      </w:tblPr>
      <w:tblGrid>
        <w:gridCol w:w="2155"/>
        <w:gridCol w:w="3150"/>
        <w:gridCol w:w="1260"/>
        <w:gridCol w:w="2520"/>
      </w:tblGrid>
      <w:tr w:rsidR="009E6BA4" w:rsidRPr="009E6BA4" w:rsidTr="00797732">
        <w:trPr>
          <w:trHeight w:val="760"/>
        </w:trPr>
        <w:tc>
          <w:tcPr>
            <w:tcW w:w="2155" w:type="dxa"/>
            <w:shd w:val="clear" w:color="auto" w:fill="auto"/>
          </w:tcPr>
          <w:p w:rsidR="009E6BA4" w:rsidRPr="009E6BA4" w:rsidRDefault="009E6BA4" w:rsidP="009E6BA4">
            <w:pPr>
              <w:ind w:right="261"/>
              <w:rPr>
                <w:rFonts w:cs="Arial"/>
                <w:color w:val="000000" w:themeColor="text1"/>
                <w:sz w:val="22"/>
                <w:szCs w:val="22"/>
              </w:rPr>
            </w:pPr>
            <w:r w:rsidRPr="009E6BA4">
              <w:rPr>
                <w:rFonts w:cs="Arial"/>
                <w:color w:val="000000" w:themeColor="text1"/>
                <w:sz w:val="22"/>
                <w:szCs w:val="22"/>
              </w:rPr>
              <w:lastRenderedPageBreak/>
              <w:t xml:space="preserve">Develop South </w:t>
            </w:r>
            <w:proofErr w:type="spellStart"/>
            <w:r w:rsidRPr="009E6BA4">
              <w:rPr>
                <w:rFonts w:cs="Arial"/>
                <w:color w:val="000000" w:themeColor="text1"/>
                <w:sz w:val="22"/>
                <w:szCs w:val="22"/>
              </w:rPr>
              <w:t>Ribble</w:t>
            </w:r>
            <w:proofErr w:type="spellEnd"/>
          </w:p>
          <w:p w:rsidR="009E6BA4" w:rsidRPr="009E6BA4" w:rsidRDefault="009E6BA4" w:rsidP="009E6BA4">
            <w:pPr>
              <w:ind w:right="261"/>
              <w:rPr>
                <w:rFonts w:cs="Arial"/>
                <w:color w:val="000000" w:themeColor="text1"/>
                <w:sz w:val="22"/>
                <w:szCs w:val="22"/>
              </w:rPr>
            </w:pPr>
            <w:r w:rsidRPr="009E6BA4">
              <w:rPr>
                <w:rFonts w:cs="Arial"/>
                <w:color w:val="000000" w:themeColor="text1"/>
                <w:sz w:val="22"/>
                <w:szCs w:val="22"/>
              </w:rPr>
              <w:t>Programme for festivals and events</w:t>
            </w:r>
          </w:p>
        </w:tc>
        <w:tc>
          <w:tcPr>
            <w:tcW w:w="3150" w:type="dxa"/>
            <w:shd w:val="clear" w:color="auto" w:fill="auto"/>
            <w:vAlign w:val="center"/>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A draft Events Programme for 2019/20 was approved and now plans for individual events are being worked up with more detail around health and safety, risk management, publicity and promotion.</w:t>
            </w:r>
          </w:p>
        </w:tc>
        <w:tc>
          <w:tcPr>
            <w:tcW w:w="1260" w:type="dxa"/>
            <w:shd w:val="clear" w:color="auto" w:fill="92D050"/>
          </w:tcPr>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r w:rsidRPr="009E6BA4">
              <w:rPr>
                <w:rFonts w:cs="Arial"/>
                <w:color w:val="000000" w:themeColor="text1"/>
                <w:sz w:val="22"/>
                <w:szCs w:val="22"/>
              </w:rPr>
              <w:t>On-track</w:t>
            </w:r>
          </w:p>
        </w:tc>
        <w:tc>
          <w:tcPr>
            <w:tcW w:w="2520" w:type="dxa"/>
            <w:shd w:val="clear" w:color="auto" w:fill="FFFFFF" w:themeFill="background1"/>
          </w:tcPr>
          <w:p w:rsidR="009E6BA4" w:rsidRPr="009E6BA4" w:rsidRDefault="009E6BA4" w:rsidP="009E6BA4">
            <w:pPr>
              <w:rPr>
                <w:rFonts w:cs="Arial"/>
                <w:color w:val="000000" w:themeColor="text1"/>
                <w:sz w:val="22"/>
                <w:szCs w:val="22"/>
              </w:rPr>
            </w:pPr>
            <w:r w:rsidRPr="009E6BA4">
              <w:rPr>
                <w:rFonts w:cs="Arial"/>
                <w:sz w:val="22"/>
                <w:szCs w:val="22"/>
              </w:rPr>
              <w:t xml:space="preserve">Finalise the South </w:t>
            </w:r>
            <w:proofErr w:type="spellStart"/>
            <w:r w:rsidRPr="009E6BA4">
              <w:rPr>
                <w:rFonts w:cs="Arial"/>
                <w:sz w:val="22"/>
                <w:szCs w:val="22"/>
              </w:rPr>
              <w:t>Ribble</w:t>
            </w:r>
            <w:proofErr w:type="spellEnd"/>
            <w:r w:rsidRPr="009E6BA4">
              <w:rPr>
                <w:rFonts w:cs="Arial"/>
                <w:sz w:val="22"/>
                <w:szCs w:val="22"/>
              </w:rPr>
              <w:t xml:space="preserve"> Programme for festivals and events, to build on South </w:t>
            </w:r>
            <w:proofErr w:type="spellStart"/>
            <w:r w:rsidRPr="009E6BA4">
              <w:rPr>
                <w:rFonts w:cs="Arial"/>
                <w:sz w:val="22"/>
                <w:szCs w:val="22"/>
              </w:rPr>
              <w:t>Ribble’s</w:t>
            </w:r>
            <w:proofErr w:type="spellEnd"/>
            <w:r w:rsidRPr="009E6BA4">
              <w:rPr>
                <w:rFonts w:cs="Arial"/>
                <w:sz w:val="22"/>
                <w:szCs w:val="22"/>
              </w:rPr>
              <w:t xml:space="preserve"> thriving community spirit, and begin to deliver planned events. </w:t>
            </w:r>
          </w:p>
        </w:tc>
      </w:tr>
      <w:tr w:rsidR="009E6BA4" w:rsidRPr="009E6BA4" w:rsidTr="00797732">
        <w:trPr>
          <w:trHeight w:val="760"/>
        </w:trPr>
        <w:tc>
          <w:tcPr>
            <w:tcW w:w="2155" w:type="dxa"/>
            <w:shd w:val="clear" w:color="auto" w:fill="auto"/>
          </w:tcPr>
          <w:p w:rsidR="009E6BA4" w:rsidRPr="009E6BA4" w:rsidRDefault="009E6BA4" w:rsidP="009E6BA4">
            <w:pPr>
              <w:ind w:right="261"/>
              <w:rPr>
                <w:rFonts w:cs="Arial"/>
                <w:color w:val="000000" w:themeColor="text1"/>
                <w:sz w:val="22"/>
                <w:szCs w:val="22"/>
              </w:rPr>
            </w:pPr>
            <w:r w:rsidRPr="009E6BA4">
              <w:rPr>
                <w:rFonts w:cs="Arial"/>
                <w:color w:val="000000" w:themeColor="text1"/>
                <w:sz w:val="22"/>
                <w:szCs w:val="22"/>
              </w:rPr>
              <w:t xml:space="preserve">South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Ambassador</w:t>
            </w:r>
          </w:p>
          <w:p w:rsidR="009E6BA4" w:rsidRPr="009E6BA4" w:rsidRDefault="009E6BA4" w:rsidP="009E6BA4">
            <w:pPr>
              <w:ind w:right="261"/>
              <w:rPr>
                <w:rFonts w:cs="Arial"/>
                <w:color w:val="000000" w:themeColor="text1"/>
                <w:sz w:val="22"/>
                <w:szCs w:val="22"/>
              </w:rPr>
            </w:pPr>
            <w:r w:rsidRPr="009E6BA4">
              <w:rPr>
                <w:rFonts w:cs="Arial"/>
                <w:color w:val="000000" w:themeColor="text1"/>
                <w:sz w:val="22"/>
                <w:szCs w:val="22"/>
              </w:rPr>
              <w:t>programme</w:t>
            </w:r>
          </w:p>
        </w:tc>
        <w:tc>
          <w:tcPr>
            <w:tcW w:w="3150" w:type="dxa"/>
            <w:shd w:val="clear" w:color="auto" w:fill="auto"/>
            <w:vAlign w:val="center"/>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 xml:space="preserve">This project has not progressed as quickly as anticipated due to further scoping being required. This project will be aligned with actions identified in the South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Community Strategy, and delivery will begin to commence in 2019/20.</w:t>
            </w:r>
          </w:p>
        </w:tc>
        <w:tc>
          <w:tcPr>
            <w:tcW w:w="1260" w:type="dxa"/>
            <w:shd w:val="clear" w:color="auto" w:fill="FFC000"/>
          </w:tcPr>
          <w:p w:rsidR="009E6BA4" w:rsidRPr="009E6BA4" w:rsidRDefault="009E6BA4" w:rsidP="009E6BA4">
            <w:pPr>
              <w:rPr>
                <w:rFonts w:cs="Arial"/>
                <w:sz w:val="22"/>
                <w:szCs w:val="22"/>
              </w:rPr>
            </w:pPr>
          </w:p>
          <w:p w:rsidR="009E6BA4" w:rsidRPr="009E6BA4" w:rsidRDefault="009E6BA4" w:rsidP="009E6BA4">
            <w:pPr>
              <w:jc w:val="center"/>
              <w:rPr>
                <w:rFonts w:cs="Arial"/>
                <w:color w:val="000000" w:themeColor="text1"/>
                <w:sz w:val="22"/>
                <w:szCs w:val="22"/>
              </w:rPr>
            </w:pPr>
            <w:r w:rsidRPr="009E6BA4">
              <w:rPr>
                <w:rFonts w:cs="Arial"/>
                <w:sz w:val="22"/>
                <w:szCs w:val="22"/>
              </w:rPr>
              <w:t>Off-track</w:t>
            </w:r>
          </w:p>
        </w:tc>
        <w:tc>
          <w:tcPr>
            <w:tcW w:w="2520" w:type="dxa"/>
            <w:shd w:val="clear" w:color="auto" w:fill="FFFFFF" w:themeFill="background1"/>
          </w:tcPr>
          <w:p w:rsidR="009E6BA4" w:rsidRPr="009E6BA4" w:rsidRDefault="009E6BA4" w:rsidP="009E6BA4">
            <w:pPr>
              <w:rPr>
                <w:rFonts w:cs="Arial"/>
                <w:sz w:val="22"/>
                <w:szCs w:val="22"/>
              </w:rPr>
            </w:pPr>
            <w:r w:rsidRPr="009E6BA4">
              <w:rPr>
                <w:rFonts w:cs="Arial"/>
                <w:sz w:val="22"/>
                <w:szCs w:val="22"/>
              </w:rPr>
              <w:t xml:space="preserve">Work with partners to build a network of South </w:t>
            </w:r>
            <w:proofErr w:type="spellStart"/>
            <w:r w:rsidRPr="009E6BA4">
              <w:rPr>
                <w:rFonts w:cs="Arial"/>
                <w:sz w:val="22"/>
                <w:szCs w:val="22"/>
              </w:rPr>
              <w:t>Ribble</w:t>
            </w:r>
            <w:proofErr w:type="spellEnd"/>
            <w:r w:rsidRPr="009E6BA4">
              <w:rPr>
                <w:rFonts w:cs="Arial"/>
                <w:sz w:val="22"/>
                <w:szCs w:val="22"/>
              </w:rPr>
              <w:t xml:space="preserve"> Ambassadors, representing different key stakeholder groups across the Borough.</w:t>
            </w:r>
          </w:p>
        </w:tc>
      </w:tr>
    </w:tbl>
    <w:p w:rsidR="009E6BA4" w:rsidRPr="009E6BA4" w:rsidRDefault="009E6BA4" w:rsidP="009E6BA4">
      <w:pPr>
        <w:spacing w:after="0"/>
        <w:ind w:right="-1"/>
        <w:rPr>
          <w:noProof/>
        </w:rPr>
      </w:pPr>
    </w:p>
    <w:p w:rsidR="009E6BA4" w:rsidRPr="009E6BA4" w:rsidRDefault="009E6BA4" w:rsidP="009E6BA4">
      <w:pPr>
        <w:spacing w:after="0"/>
        <w:ind w:right="-1"/>
        <w:rPr>
          <w:i/>
          <w:noProof/>
        </w:rPr>
      </w:pPr>
      <w:r w:rsidRPr="009E6BA4">
        <w:rPr>
          <w:i/>
          <w:noProof/>
        </w:rPr>
        <w:t>River Ribble Masterplan</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This programme has a significant scope, all of which focusing on the areas surrounding the River Ribble. This includes improving road infrastructure, investing in nature and wildlife, and making walking and cycle paths that are accessible for all.</w:t>
      </w:r>
    </w:p>
    <w:p w:rsidR="009E6BA4" w:rsidRPr="009E6BA4" w:rsidRDefault="009E6BA4" w:rsidP="009E6BA4">
      <w:pPr>
        <w:spacing w:after="0"/>
        <w:ind w:right="-1"/>
        <w:rPr>
          <w:noProof/>
        </w:rPr>
      </w:pPr>
    </w:p>
    <w:tbl>
      <w:tblPr>
        <w:tblStyle w:val="TableGrid"/>
        <w:tblpPr w:leftFromText="180" w:rightFromText="180" w:vertAnchor="text" w:horzAnchor="margin" w:tblpY="2"/>
        <w:tblW w:w="9085" w:type="dxa"/>
        <w:tblLook w:val="04A0" w:firstRow="1" w:lastRow="0" w:firstColumn="1" w:lastColumn="0" w:noHBand="0" w:noVBand="1"/>
      </w:tblPr>
      <w:tblGrid>
        <w:gridCol w:w="2155"/>
        <w:gridCol w:w="3150"/>
        <w:gridCol w:w="1260"/>
        <w:gridCol w:w="2520"/>
      </w:tblGrid>
      <w:tr w:rsidR="009E6BA4" w:rsidRPr="009E6BA4" w:rsidTr="00797732">
        <w:trPr>
          <w:trHeight w:val="440"/>
        </w:trPr>
        <w:tc>
          <w:tcPr>
            <w:tcW w:w="2155"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Project (s):</w:t>
            </w:r>
          </w:p>
        </w:tc>
        <w:tc>
          <w:tcPr>
            <w:tcW w:w="3150"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2018/19 Performance Update</w:t>
            </w:r>
          </w:p>
        </w:tc>
        <w:tc>
          <w:tcPr>
            <w:tcW w:w="1260" w:type="dxa"/>
            <w:shd w:val="clear" w:color="auto" w:fill="2F5496" w:themeFill="accent5" w:themeFillShade="BF"/>
          </w:tcPr>
          <w:p w:rsidR="009E6BA4" w:rsidRPr="009E6BA4" w:rsidRDefault="009E6BA4" w:rsidP="009E6BA4">
            <w:pPr>
              <w:rPr>
                <w:rFonts w:cs="Arial"/>
                <w:b/>
                <w:color w:val="FFFFFF" w:themeColor="background1"/>
                <w:sz w:val="22"/>
                <w:szCs w:val="22"/>
              </w:rPr>
            </w:pPr>
            <w:r w:rsidRPr="009E6BA4">
              <w:rPr>
                <w:rFonts w:cs="Arial"/>
                <w:b/>
                <w:color w:val="FFFFFF" w:themeColor="background1"/>
                <w:sz w:val="22"/>
                <w:szCs w:val="22"/>
              </w:rPr>
              <w:t>Status</w:t>
            </w:r>
          </w:p>
        </w:tc>
        <w:tc>
          <w:tcPr>
            <w:tcW w:w="2520" w:type="dxa"/>
            <w:shd w:val="clear" w:color="auto" w:fill="2F5496" w:themeFill="accent5" w:themeFillShade="BF"/>
          </w:tcPr>
          <w:p w:rsidR="009E6BA4" w:rsidRPr="009E6BA4" w:rsidRDefault="009E6BA4" w:rsidP="009E6BA4">
            <w:pPr>
              <w:jc w:val="center"/>
              <w:rPr>
                <w:rFonts w:cs="Arial"/>
                <w:b/>
                <w:color w:val="FFFFFF" w:themeColor="background1"/>
                <w:sz w:val="22"/>
                <w:szCs w:val="22"/>
              </w:rPr>
            </w:pPr>
            <w:r w:rsidRPr="009E6BA4">
              <w:rPr>
                <w:rFonts w:cs="Arial"/>
                <w:b/>
                <w:color w:val="FFFFFF" w:themeColor="background1"/>
                <w:sz w:val="22"/>
                <w:szCs w:val="22"/>
              </w:rPr>
              <w:t>Next Steps in 2019/20</w:t>
            </w:r>
          </w:p>
        </w:tc>
      </w:tr>
      <w:tr w:rsidR="009E6BA4" w:rsidRPr="009E6BA4" w:rsidTr="00797732">
        <w:trPr>
          <w:trHeight w:val="760"/>
        </w:trPr>
        <w:tc>
          <w:tcPr>
            <w:tcW w:w="2155" w:type="dxa"/>
            <w:shd w:val="clear" w:color="auto" w:fill="auto"/>
          </w:tcPr>
          <w:p w:rsidR="009E6BA4" w:rsidRPr="009E6BA4" w:rsidRDefault="009E6BA4" w:rsidP="009E6BA4">
            <w:pPr>
              <w:ind w:right="261"/>
              <w:rPr>
                <w:rFonts w:cs="Arial"/>
                <w:sz w:val="22"/>
                <w:szCs w:val="22"/>
              </w:rPr>
            </w:pPr>
            <w:r w:rsidRPr="009E6BA4">
              <w:rPr>
                <w:rFonts w:cs="Arial"/>
                <w:sz w:val="22"/>
                <w:szCs w:val="22"/>
              </w:rPr>
              <w:t xml:space="preserve">Masterplan for River </w:t>
            </w:r>
            <w:proofErr w:type="spellStart"/>
            <w:r w:rsidRPr="009E6BA4">
              <w:rPr>
                <w:rFonts w:cs="Arial"/>
                <w:sz w:val="22"/>
                <w:szCs w:val="22"/>
              </w:rPr>
              <w:t>Ribble</w:t>
            </w:r>
            <w:proofErr w:type="spellEnd"/>
            <w:r w:rsidRPr="009E6BA4">
              <w:rPr>
                <w:rFonts w:cs="Arial"/>
                <w:sz w:val="22"/>
                <w:szCs w:val="22"/>
              </w:rPr>
              <w:t xml:space="preserve"> Green links joining river frontage to local amenities &amp; wider network</w:t>
            </w:r>
          </w:p>
          <w:p w:rsidR="009E6BA4" w:rsidRPr="009E6BA4" w:rsidRDefault="009E6BA4" w:rsidP="009E6BA4">
            <w:pPr>
              <w:ind w:right="261"/>
              <w:rPr>
                <w:rFonts w:cs="Arial"/>
                <w:sz w:val="22"/>
                <w:szCs w:val="22"/>
              </w:rPr>
            </w:pPr>
          </w:p>
        </w:tc>
        <w:tc>
          <w:tcPr>
            <w:tcW w:w="3150" w:type="dxa"/>
            <w:shd w:val="clear" w:color="auto" w:fill="auto"/>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 xml:space="preserve">Themed walks have been completed in partnership with Lancashire Wildlife Trust and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Rivers Trust with routes including signage, way marking and leaflets. Improvements have been carried out to widen footpaths, increase visibility and enhance habitats. Partnership working has also been established with the Environment Agency to address flood management issues between the M6 and Penwortham Holme. </w:t>
            </w:r>
          </w:p>
        </w:tc>
        <w:tc>
          <w:tcPr>
            <w:tcW w:w="1260" w:type="dxa"/>
            <w:shd w:val="clear" w:color="auto" w:fill="92D050"/>
          </w:tcPr>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r w:rsidRPr="009E6BA4">
              <w:rPr>
                <w:rFonts w:cs="Arial"/>
                <w:color w:val="000000" w:themeColor="text1"/>
                <w:sz w:val="22"/>
                <w:szCs w:val="22"/>
              </w:rPr>
              <w:t>On-track</w:t>
            </w:r>
          </w:p>
        </w:tc>
        <w:tc>
          <w:tcPr>
            <w:tcW w:w="2520" w:type="dxa"/>
            <w:shd w:val="clear" w:color="auto" w:fill="FFFFFF" w:themeFill="background1"/>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 xml:space="preserve">To prepare the Masterplan for River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Green</w:t>
            </w:r>
          </w:p>
          <w:p w:rsidR="009E6BA4" w:rsidRPr="009E6BA4" w:rsidRDefault="009E6BA4" w:rsidP="009E6BA4">
            <w:pPr>
              <w:rPr>
                <w:rFonts w:cs="Arial"/>
                <w:color w:val="000000" w:themeColor="text1"/>
                <w:sz w:val="22"/>
                <w:szCs w:val="22"/>
              </w:rPr>
            </w:pPr>
            <w:r w:rsidRPr="009E6BA4">
              <w:rPr>
                <w:rFonts w:cs="Arial"/>
                <w:color w:val="000000" w:themeColor="text1"/>
                <w:sz w:val="22"/>
                <w:szCs w:val="22"/>
              </w:rPr>
              <w:t>Links, which will include consultation and the implementation of</w:t>
            </w:r>
          </w:p>
          <w:p w:rsidR="009E6BA4" w:rsidRPr="009E6BA4" w:rsidRDefault="009E6BA4" w:rsidP="009E6BA4">
            <w:pPr>
              <w:rPr>
                <w:rFonts w:cs="Arial"/>
                <w:color w:val="000000" w:themeColor="text1"/>
                <w:sz w:val="22"/>
                <w:szCs w:val="22"/>
              </w:rPr>
            </w:pPr>
            <w:proofErr w:type="gramStart"/>
            <w:r w:rsidRPr="009E6BA4">
              <w:rPr>
                <w:rFonts w:cs="Arial"/>
                <w:color w:val="000000" w:themeColor="text1"/>
                <w:sz w:val="22"/>
                <w:szCs w:val="22"/>
              </w:rPr>
              <w:t>priority</w:t>
            </w:r>
            <w:proofErr w:type="gramEnd"/>
            <w:r w:rsidRPr="009E6BA4">
              <w:rPr>
                <w:rFonts w:cs="Arial"/>
                <w:color w:val="000000" w:themeColor="text1"/>
                <w:sz w:val="22"/>
                <w:szCs w:val="22"/>
              </w:rPr>
              <w:t xml:space="preserve"> projects.</w:t>
            </w:r>
          </w:p>
        </w:tc>
      </w:tr>
      <w:tr w:rsidR="009E6BA4" w:rsidRPr="009E6BA4" w:rsidTr="00797732">
        <w:trPr>
          <w:trHeight w:val="760"/>
        </w:trPr>
        <w:tc>
          <w:tcPr>
            <w:tcW w:w="2155" w:type="dxa"/>
            <w:shd w:val="clear" w:color="auto" w:fill="auto"/>
          </w:tcPr>
          <w:p w:rsidR="009E6BA4" w:rsidRPr="009E6BA4" w:rsidRDefault="009E6BA4" w:rsidP="009E6BA4">
            <w:pPr>
              <w:ind w:right="261"/>
              <w:rPr>
                <w:rFonts w:cs="Arial"/>
                <w:sz w:val="22"/>
                <w:szCs w:val="22"/>
              </w:rPr>
            </w:pPr>
            <w:r w:rsidRPr="009E6BA4">
              <w:rPr>
                <w:rFonts w:cs="Arial"/>
                <w:sz w:val="22"/>
                <w:szCs w:val="22"/>
              </w:rPr>
              <w:t>Accessibility work including completion of Cross Borough Link Road</w:t>
            </w:r>
          </w:p>
          <w:p w:rsidR="009E6BA4" w:rsidRPr="009E6BA4" w:rsidRDefault="009E6BA4" w:rsidP="009E6BA4">
            <w:pPr>
              <w:ind w:right="261"/>
              <w:rPr>
                <w:rFonts w:cs="Arial"/>
                <w:sz w:val="22"/>
                <w:szCs w:val="22"/>
              </w:rPr>
            </w:pPr>
          </w:p>
        </w:tc>
        <w:tc>
          <w:tcPr>
            <w:tcW w:w="3150" w:type="dxa"/>
            <w:shd w:val="clear" w:color="auto" w:fill="auto"/>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 xml:space="preserve">Whilst the opening of the </w:t>
            </w:r>
            <w:proofErr w:type="spellStart"/>
            <w:r w:rsidRPr="009E6BA4">
              <w:rPr>
                <w:rFonts w:cs="Arial"/>
                <w:color w:val="000000" w:themeColor="text1"/>
                <w:sz w:val="22"/>
                <w:szCs w:val="22"/>
              </w:rPr>
              <w:t>Cawsey</w:t>
            </w:r>
            <w:proofErr w:type="spellEnd"/>
            <w:r w:rsidRPr="009E6BA4">
              <w:rPr>
                <w:rFonts w:cs="Arial"/>
                <w:color w:val="000000" w:themeColor="text1"/>
                <w:sz w:val="22"/>
                <w:szCs w:val="22"/>
              </w:rPr>
              <w:t xml:space="preserve"> to </w:t>
            </w:r>
            <w:proofErr w:type="spellStart"/>
            <w:r w:rsidRPr="009E6BA4">
              <w:rPr>
                <w:rFonts w:cs="Arial"/>
                <w:color w:val="000000" w:themeColor="text1"/>
                <w:sz w:val="22"/>
                <w:szCs w:val="22"/>
              </w:rPr>
              <w:t>Carwood</w:t>
            </w:r>
            <w:proofErr w:type="spellEnd"/>
            <w:r w:rsidRPr="009E6BA4">
              <w:rPr>
                <w:rFonts w:cs="Arial"/>
                <w:color w:val="000000" w:themeColor="text1"/>
                <w:sz w:val="22"/>
                <w:szCs w:val="22"/>
              </w:rPr>
              <w:t xml:space="preserve"> Road has slipped, after over 20 years this important connection to the east of the Borough will finally be available for local residents.</w:t>
            </w:r>
          </w:p>
          <w:p w:rsidR="009E6BA4" w:rsidRPr="009E6BA4" w:rsidRDefault="009E6BA4" w:rsidP="009E6BA4">
            <w:pPr>
              <w:rPr>
                <w:rFonts w:cs="Arial"/>
                <w:color w:val="000000" w:themeColor="text1"/>
                <w:sz w:val="22"/>
                <w:szCs w:val="22"/>
              </w:rPr>
            </w:pPr>
          </w:p>
        </w:tc>
        <w:tc>
          <w:tcPr>
            <w:tcW w:w="1260" w:type="dxa"/>
            <w:shd w:val="clear" w:color="auto" w:fill="92D050"/>
          </w:tcPr>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r w:rsidRPr="009E6BA4">
              <w:rPr>
                <w:rFonts w:cs="Arial"/>
                <w:color w:val="000000" w:themeColor="text1"/>
                <w:sz w:val="22"/>
                <w:szCs w:val="22"/>
              </w:rPr>
              <w:t>On-track</w:t>
            </w:r>
          </w:p>
        </w:tc>
        <w:tc>
          <w:tcPr>
            <w:tcW w:w="2520" w:type="dxa"/>
            <w:shd w:val="clear" w:color="auto" w:fill="FFFFFF" w:themeFill="background1"/>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Awarding of contracts and to begin construction of the Cross Borough Link Road, including the connection from Bee Lane to the A582.</w:t>
            </w:r>
          </w:p>
        </w:tc>
      </w:tr>
    </w:tbl>
    <w:p w:rsidR="009E6BA4" w:rsidRPr="009E6BA4" w:rsidRDefault="009E6BA4" w:rsidP="009E6BA4">
      <w:pPr>
        <w:spacing w:after="0"/>
      </w:pPr>
      <w:r w:rsidRPr="009E6BA4">
        <w:br w:type="page"/>
      </w:r>
    </w:p>
    <w:tbl>
      <w:tblPr>
        <w:tblStyle w:val="TableGrid"/>
        <w:tblpPr w:leftFromText="180" w:rightFromText="180" w:vertAnchor="text" w:horzAnchor="margin" w:tblpY="2"/>
        <w:tblW w:w="9085" w:type="dxa"/>
        <w:tblLook w:val="04A0" w:firstRow="1" w:lastRow="0" w:firstColumn="1" w:lastColumn="0" w:noHBand="0" w:noVBand="1"/>
      </w:tblPr>
      <w:tblGrid>
        <w:gridCol w:w="2155"/>
        <w:gridCol w:w="3150"/>
        <w:gridCol w:w="1260"/>
        <w:gridCol w:w="2520"/>
      </w:tblGrid>
      <w:tr w:rsidR="009E6BA4" w:rsidRPr="009E6BA4" w:rsidTr="00797732">
        <w:trPr>
          <w:trHeight w:val="760"/>
        </w:trPr>
        <w:tc>
          <w:tcPr>
            <w:tcW w:w="2155" w:type="dxa"/>
            <w:shd w:val="clear" w:color="auto" w:fill="auto"/>
          </w:tcPr>
          <w:p w:rsidR="009E6BA4" w:rsidRPr="009E6BA4" w:rsidRDefault="009E6BA4" w:rsidP="009E6BA4">
            <w:pPr>
              <w:ind w:right="261"/>
              <w:rPr>
                <w:rFonts w:cs="Arial"/>
                <w:sz w:val="22"/>
                <w:szCs w:val="22"/>
              </w:rPr>
            </w:pPr>
            <w:r w:rsidRPr="009E6BA4">
              <w:rPr>
                <w:rFonts w:cs="Arial"/>
                <w:sz w:val="22"/>
                <w:szCs w:val="22"/>
              </w:rPr>
              <w:lastRenderedPageBreak/>
              <w:t xml:space="preserve">Progress development of a project for new </w:t>
            </w:r>
            <w:proofErr w:type="spellStart"/>
            <w:r w:rsidRPr="009E6BA4">
              <w:rPr>
                <w:rFonts w:cs="Arial"/>
                <w:sz w:val="22"/>
                <w:szCs w:val="22"/>
              </w:rPr>
              <w:t>Ribble</w:t>
            </w:r>
            <w:proofErr w:type="spellEnd"/>
            <w:r w:rsidRPr="009E6BA4">
              <w:rPr>
                <w:rFonts w:cs="Arial"/>
                <w:sz w:val="22"/>
                <w:szCs w:val="22"/>
              </w:rPr>
              <w:t xml:space="preserve"> Crossing (subject to HIF Funding being awarded)</w:t>
            </w:r>
          </w:p>
          <w:p w:rsidR="009E6BA4" w:rsidRPr="009E6BA4" w:rsidRDefault="009E6BA4" w:rsidP="009E6BA4">
            <w:pPr>
              <w:ind w:right="261"/>
              <w:rPr>
                <w:rFonts w:cs="Arial"/>
                <w:sz w:val="22"/>
                <w:szCs w:val="22"/>
              </w:rPr>
            </w:pPr>
          </w:p>
        </w:tc>
        <w:tc>
          <w:tcPr>
            <w:tcW w:w="3150" w:type="dxa"/>
            <w:shd w:val="clear" w:color="auto" w:fill="auto"/>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 xml:space="preserve">Lancashire County Council have not managed to secure funding in 2018/19, however there is a need to continue to explore funding opportunities and secure planning permission for development of new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Crossing, as </w:t>
            </w:r>
            <w:r w:rsidRPr="009E6BA4">
              <w:rPr>
                <w:sz w:val="22"/>
                <w:szCs w:val="22"/>
              </w:rPr>
              <w:t xml:space="preserve"> </w:t>
            </w:r>
            <w:r w:rsidRPr="009E6BA4">
              <w:rPr>
                <w:rFonts w:cs="Arial"/>
                <w:color w:val="000000" w:themeColor="text1"/>
                <w:sz w:val="22"/>
                <w:szCs w:val="22"/>
              </w:rPr>
              <w:t>this project is of key importance to continue the secure economic growth within the Borough and to improve connections within the wider Lancashire area.</w:t>
            </w:r>
            <w:r w:rsidRPr="009E6BA4">
              <w:rPr>
                <w:rFonts w:cs="Arial"/>
                <w:color w:val="000000" w:themeColor="text1"/>
                <w:sz w:val="22"/>
                <w:szCs w:val="22"/>
              </w:rPr>
              <w:br/>
            </w:r>
          </w:p>
        </w:tc>
        <w:tc>
          <w:tcPr>
            <w:tcW w:w="1260" w:type="dxa"/>
            <w:shd w:val="clear" w:color="auto" w:fill="FF0000"/>
          </w:tcPr>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r w:rsidRPr="009E6BA4">
              <w:rPr>
                <w:rFonts w:cs="Arial"/>
                <w:color w:val="FFFFFF" w:themeColor="background1"/>
                <w:sz w:val="22"/>
                <w:szCs w:val="22"/>
              </w:rPr>
              <w:t>Off-track</w:t>
            </w:r>
          </w:p>
        </w:tc>
        <w:tc>
          <w:tcPr>
            <w:tcW w:w="2520" w:type="dxa"/>
            <w:shd w:val="clear" w:color="auto" w:fill="FFFFFF" w:themeFill="background1"/>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Explore funding opportunities and secure</w:t>
            </w:r>
          </w:p>
          <w:p w:rsidR="009E6BA4" w:rsidRPr="009E6BA4" w:rsidRDefault="009E6BA4" w:rsidP="009E6BA4">
            <w:pPr>
              <w:rPr>
                <w:rFonts w:cs="Arial"/>
                <w:color w:val="000000" w:themeColor="text1"/>
                <w:sz w:val="22"/>
                <w:szCs w:val="22"/>
              </w:rPr>
            </w:pPr>
            <w:r w:rsidRPr="009E6BA4">
              <w:rPr>
                <w:rFonts w:cs="Arial"/>
                <w:color w:val="000000" w:themeColor="text1"/>
                <w:sz w:val="22"/>
                <w:szCs w:val="22"/>
              </w:rPr>
              <w:t>planning permission for development of new</w:t>
            </w:r>
          </w:p>
          <w:p w:rsidR="009E6BA4" w:rsidRPr="009E6BA4" w:rsidRDefault="009E6BA4" w:rsidP="009E6BA4">
            <w:pPr>
              <w:rPr>
                <w:rFonts w:cs="Arial"/>
                <w:color w:val="000000" w:themeColor="text1"/>
                <w:sz w:val="22"/>
                <w:szCs w:val="22"/>
              </w:rPr>
            </w:pP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Crossing.</w:t>
            </w:r>
          </w:p>
        </w:tc>
      </w:tr>
      <w:tr w:rsidR="009E6BA4" w:rsidRPr="009E6BA4" w:rsidTr="00797732">
        <w:trPr>
          <w:trHeight w:val="760"/>
        </w:trPr>
        <w:tc>
          <w:tcPr>
            <w:tcW w:w="2155" w:type="dxa"/>
            <w:shd w:val="clear" w:color="auto" w:fill="auto"/>
          </w:tcPr>
          <w:p w:rsidR="009E6BA4" w:rsidRPr="009E6BA4" w:rsidRDefault="009E6BA4" w:rsidP="009E6BA4">
            <w:pPr>
              <w:ind w:right="261"/>
              <w:rPr>
                <w:rFonts w:cs="Arial"/>
                <w:sz w:val="22"/>
                <w:szCs w:val="22"/>
              </w:rPr>
            </w:pPr>
            <w:r w:rsidRPr="009E6BA4">
              <w:rPr>
                <w:rFonts w:cs="Arial"/>
                <w:sz w:val="22"/>
                <w:szCs w:val="22"/>
              </w:rPr>
              <w:t>Progress Delivery of Central Parks Masterplan</w:t>
            </w:r>
          </w:p>
        </w:tc>
        <w:tc>
          <w:tcPr>
            <w:tcW w:w="3150" w:type="dxa"/>
            <w:shd w:val="clear" w:color="auto" w:fill="auto"/>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 xml:space="preserve">Extensive improvements to footpaths have been delivered throughout the area, and work has started on a new footpath through Dog Kennel / </w:t>
            </w:r>
            <w:proofErr w:type="spellStart"/>
            <w:r w:rsidRPr="009E6BA4">
              <w:rPr>
                <w:rFonts w:cs="Arial"/>
                <w:color w:val="000000" w:themeColor="text1"/>
                <w:sz w:val="22"/>
                <w:szCs w:val="22"/>
              </w:rPr>
              <w:t>Cockshott</w:t>
            </w:r>
            <w:proofErr w:type="spellEnd"/>
            <w:r w:rsidRPr="009E6BA4">
              <w:rPr>
                <w:rFonts w:cs="Arial"/>
                <w:color w:val="000000" w:themeColor="text1"/>
                <w:sz w:val="22"/>
                <w:szCs w:val="22"/>
              </w:rPr>
              <w:t xml:space="preserve"> Woods, including preparatory work for entrances at Leyland Road, </w:t>
            </w:r>
            <w:proofErr w:type="spellStart"/>
            <w:r w:rsidRPr="009E6BA4">
              <w:rPr>
                <w:rFonts w:cs="Arial"/>
                <w:color w:val="000000" w:themeColor="text1"/>
                <w:sz w:val="22"/>
                <w:szCs w:val="22"/>
              </w:rPr>
              <w:t>Wateringpool</w:t>
            </w:r>
            <w:proofErr w:type="spellEnd"/>
            <w:r w:rsidRPr="009E6BA4">
              <w:rPr>
                <w:rFonts w:cs="Arial"/>
                <w:color w:val="000000" w:themeColor="text1"/>
                <w:sz w:val="22"/>
                <w:szCs w:val="22"/>
              </w:rPr>
              <w:t xml:space="preserve"> Lane and Todd Lane North. New entrance furniture has been designed and manufactured including </w:t>
            </w:r>
            <w:proofErr w:type="gramStart"/>
            <w:r w:rsidRPr="009E6BA4">
              <w:rPr>
                <w:rFonts w:cs="Arial"/>
                <w:color w:val="000000" w:themeColor="text1"/>
                <w:sz w:val="22"/>
                <w:szCs w:val="22"/>
              </w:rPr>
              <w:t>Central Parks</w:t>
            </w:r>
            <w:proofErr w:type="gramEnd"/>
            <w:r w:rsidRPr="009E6BA4">
              <w:rPr>
                <w:rFonts w:cs="Arial"/>
                <w:color w:val="000000" w:themeColor="text1"/>
                <w:sz w:val="22"/>
                <w:szCs w:val="22"/>
              </w:rPr>
              <w:t xml:space="preserve"> signage and lecterns.</w:t>
            </w:r>
          </w:p>
          <w:p w:rsidR="009E6BA4" w:rsidRPr="009E6BA4" w:rsidRDefault="009E6BA4" w:rsidP="009E6BA4">
            <w:pPr>
              <w:rPr>
                <w:rFonts w:cs="Arial"/>
                <w:color w:val="000000" w:themeColor="text1"/>
                <w:sz w:val="22"/>
                <w:szCs w:val="22"/>
              </w:rPr>
            </w:pPr>
          </w:p>
          <w:p w:rsidR="009E6BA4" w:rsidRPr="009E6BA4" w:rsidRDefault="009E6BA4" w:rsidP="009E6BA4">
            <w:pPr>
              <w:rPr>
                <w:rFonts w:cs="Arial"/>
                <w:color w:val="000000" w:themeColor="text1"/>
                <w:sz w:val="22"/>
                <w:szCs w:val="22"/>
              </w:rPr>
            </w:pPr>
            <w:r w:rsidRPr="009E6BA4">
              <w:rPr>
                <w:rFonts w:cs="Arial"/>
                <w:color w:val="000000" w:themeColor="text1"/>
                <w:sz w:val="22"/>
                <w:szCs w:val="22"/>
              </w:rPr>
              <w:t xml:space="preserve">A Central Parks management plan for the Preston Junction Local Nature Reserve (LNR) has been implemented with volunteers and is managed by Lancashire Wildlife Trust, and the Pollinator strategy has continued in partnership with the Bee Centre. Landowner approval has been obtained by Lancashire County Council to upgrade bridle path between Winery Lane and the </w:t>
            </w:r>
            <w:proofErr w:type="spellStart"/>
            <w:r w:rsidRPr="009E6BA4">
              <w:rPr>
                <w:rFonts w:cs="Arial"/>
                <w:color w:val="000000" w:themeColor="text1"/>
                <w:sz w:val="22"/>
                <w:szCs w:val="22"/>
              </w:rPr>
              <w:t>Ribble</w:t>
            </w:r>
            <w:proofErr w:type="spellEnd"/>
            <w:r w:rsidRPr="009E6BA4">
              <w:rPr>
                <w:rFonts w:cs="Arial"/>
                <w:color w:val="000000" w:themeColor="text1"/>
                <w:sz w:val="22"/>
                <w:szCs w:val="22"/>
              </w:rPr>
              <w:t xml:space="preserve">, and </w:t>
            </w:r>
            <w:proofErr w:type="gramStart"/>
            <w:r w:rsidRPr="009E6BA4">
              <w:rPr>
                <w:rFonts w:cs="Arial"/>
                <w:color w:val="000000" w:themeColor="text1"/>
                <w:sz w:val="22"/>
                <w:szCs w:val="22"/>
              </w:rPr>
              <w:t>Forest Schools</w:t>
            </w:r>
            <w:proofErr w:type="gramEnd"/>
            <w:r w:rsidRPr="009E6BA4">
              <w:rPr>
                <w:rFonts w:cs="Arial"/>
                <w:color w:val="000000" w:themeColor="text1"/>
                <w:sz w:val="22"/>
                <w:szCs w:val="22"/>
              </w:rPr>
              <w:t xml:space="preserve"> outdoor education programme has been established at Vernon </w:t>
            </w:r>
            <w:proofErr w:type="spellStart"/>
            <w:r w:rsidRPr="009E6BA4">
              <w:rPr>
                <w:rFonts w:cs="Arial"/>
                <w:color w:val="000000" w:themeColor="text1"/>
                <w:sz w:val="22"/>
                <w:szCs w:val="22"/>
              </w:rPr>
              <w:t>Carus</w:t>
            </w:r>
            <w:proofErr w:type="spellEnd"/>
            <w:r w:rsidRPr="009E6BA4">
              <w:rPr>
                <w:rFonts w:cs="Arial"/>
                <w:color w:val="000000" w:themeColor="text1"/>
                <w:sz w:val="22"/>
                <w:szCs w:val="22"/>
              </w:rPr>
              <w:t xml:space="preserve"> and Preston Junction LNR.</w:t>
            </w:r>
          </w:p>
        </w:tc>
        <w:tc>
          <w:tcPr>
            <w:tcW w:w="1260" w:type="dxa"/>
            <w:shd w:val="clear" w:color="auto" w:fill="92D050"/>
          </w:tcPr>
          <w:p w:rsidR="009E6BA4" w:rsidRPr="009E6BA4" w:rsidRDefault="009E6BA4" w:rsidP="009E6BA4">
            <w:pPr>
              <w:jc w:val="center"/>
              <w:rPr>
                <w:rFonts w:cs="Arial"/>
                <w:color w:val="000000" w:themeColor="text1"/>
                <w:sz w:val="22"/>
                <w:szCs w:val="22"/>
              </w:rPr>
            </w:pPr>
          </w:p>
          <w:p w:rsidR="009E6BA4" w:rsidRPr="009E6BA4" w:rsidRDefault="009E6BA4" w:rsidP="009E6BA4">
            <w:pPr>
              <w:jc w:val="center"/>
              <w:rPr>
                <w:rFonts w:cs="Arial"/>
                <w:color w:val="000000" w:themeColor="text1"/>
                <w:sz w:val="22"/>
                <w:szCs w:val="22"/>
              </w:rPr>
            </w:pPr>
            <w:r w:rsidRPr="009E6BA4">
              <w:rPr>
                <w:rFonts w:cs="Arial"/>
                <w:color w:val="000000" w:themeColor="text1"/>
                <w:sz w:val="22"/>
                <w:szCs w:val="22"/>
              </w:rPr>
              <w:t>On-track</w:t>
            </w:r>
          </w:p>
        </w:tc>
        <w:tc>
          <w:tcPr>
            <w:tcW w:w="2520" w:type="dxa"/>
            <w:shd w:val="clear" w:color="auto" w:fill="FFFFFF" w:themeFill="background1"/>
          </w:tcPr>
          <w:p w:rsidR="009E6BA4" w:rsidRPr="009E6BA4" w:rsidRDefault="009E6BA4" w:rsidP="009E6BA4">
            <w:pPr>
              <w:rPr>
                <w:rFonts w:cs="Arial"/>
                <w:color w:val="000000" w:themeColor="text1"/>
                <w:sz w:val="22"/>
                <w:szCs w:val="22"/>
              </w:rPr>
            </w:pPr>
            <w:r w:rsidRPr="009E6BA4">
              <w:rPr>
                <w:rFonts w:cs="Arial"/>
                <w:color w:val="000000" w:themeColor="text1"/>
                <w:sz w:val="22"/>
                <w:szCs w:val="22"/>
              </w:rPr>
              <w:t>Continue delivery of masterplan for major parks.</w:t>
            </w:r>
          </w:p>
        </w:tc>
      </w:tr>
    </w:tbl>
    <w:p w:rsidR="009E6BA4" w:rsidRPr="009E6BA4" w:rsidRDefault="009E6BA4" w:rsidP="009E6BA4">
      <w:pPr>
        <w:spacing w:after="0"/>
        <w:ind w:right="-1"/>
        <w:rPr>
          <w:noProof/>
        </w:rPr>
      </w:pPr>
    </w:p>
    <w:p w:rsidR="009E6BA4" w:rsidRPr="009E6BA4" w:rsidRDefault="009E6BA4" w:rsidP="009E6BA4">
      <w:pPr>
        <w:spacing w:after="0"/>
        <w:ind w:right="-1"/>
        <w:rPr>
          <w:noProof/>
        </w:rPr>
      </w:pPr>
    </w:p>
    <w:p w:rsidR="009E6BA4" w:rsidRPr="009E6BA4" w:rsidRDefault="009E6BA4" w:rsidP="009E6BA4">
      <w:pPr>
        <w:spacing w:after="0"/>
        <w:rPr>
          <w:b/>
          <w:i/>
          <w:noProof/>
        </w:rPr>
      </w:pPr>
      <w:r w:rsidRPr="009E6BA4">
        <w:rPr>
          <w:b/>
          <w:i/>
          <w:noProof/>
        </w:rPr>
        <w:br w:type="page"/>
      </w:r>
    </w:p>
    <w:p w:rsidR="009E6BA4" w:rsidRPr="009E6BA4" w:rsidRDefault="009E6BA4" w:rsidP="009E6BA4">
      <w:pPr>
        <w:spacing w:after="0"/>
        <w:ind w:right="-1"/>
        <w:rPr>
          <w:b/>
          <w:i/>
          <w:noProof/>
        </w:rPr>
      </w:pPr>
      <w:r w:rsidRPr="009E6BA4">
        <w:rPr>
          <w:b/>
          <w:i/>
          <w:noProof/>
        </w:rPr>
        <w:lastRenderedPageBreak/>
        <w:t>Our People</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Identified projects in this area are:</w:t>
      </w:r>
    </w:p>
    <w:p w:rsidR="009E6BA4" w:rsidRPr="009E6BA4" w:rsidRDefault="009E6BA4" w:rsidP="009E6BA4">
      <w:pPr>
        <w:pStyle w:val="ListParagraph"/>
        <w:numPr>
          <w:ilvl w:val="0"/>
          <w:numId w:val="6"/>
        </w:numPr>
        <w:spacing w:after="0" w:line="240" w:lineRule="auto"/>
        <w:ind w:right="-1"/>
        <w:contextualSpacing w:val="0"/>
        <w:jc w:val="both"/>
        <w:rPr>
          <w:noProof/>
        </w:rPr>
      </w:pPr>
      <w:r w:rsidRPr="009E6BA4">
        <w:rPr>
          <w:noProof/>
        </w:rPr>
        <w:t>Organisational Development</w:t>
      </w:r>
    </w:p>
    <w:p w:rsidR="009E6BA4" w:rsidRPr="009E6BA4" w:rsidRDefault="009E6BA4" w:rsidP="009E6BA4">
      <w:pPr>
        <w:pStyle w:val="ListParagraph"/>
        <w:numPr>
          <w:ilvl w:val="0"/>
          <w:numId w:val="6"/>
        </w:numPr>
        <w:spacing w:after="0" w:line="240" w:lineRule="auto"/>
        <w:ind w:right="-1"/>
        <w:contextualSpacing w:val="0"/>
        <w:jc w:val="both"/>
        <w:rPr>
          <w:noProof/>
        </w:rPr>
      </w:pPr>
      <w:r w:rsidRPr="009E6BA4">
        <w:rPr>
          <w:noProof/>
        </w:rPr>
        <w:t>Apprenticeships</w:t>
      </w:r>
    </w:p>
    <w:p w:rsidR="009E6BA4" w:rsidRPr="009E6BA4" w:rsidRDefault="009E6BA4" w:rsidP="009E6BA4">
      <w:pPr>
        <w:spacing w:after="0"/>
        <w:ind w:right="-1"/>
        <w:rPr>
          <w:noProof/>
        </w:rPr>
      </w:pPr>
    </w:p>
    <w:p w:rsidR="009E6BA4" w:rsidRPr="009E6BA4" w:rsidRDefault="009E6BA4" w:rsidP="009E6BA4">
      <w:pPr>
        <w:spacing w:after="0"/>
        <w:ind w:right="-1"/>
        <w:rPr>
          <w:noProof/>
        </w:rPr>
      </w:pPr>
      <w:r w:rsidRPr="009E6BA4">
        <w:rPr>
          <w:noProof/>
        </w:rPr>
        <w:t>Key Performance Measures in this area are:</w:t>
      </w:r>
    </w:p>
    <w:p w:rsidR="009E6BA4" w:rsidRPr="009E6BA4" w:rsidRDefault="009E6BA4" w:rsidP="009E6BA4">
      <w:pPr>
        <w:pStyle w:val="ListParagraph"/>
        <w:numPr>
          <w:ilvl w:val="0"/>
          <w:numId w:val="3"/>
        </w:numPr>
        <w:spacing w:after="0" w:line="240" w:lineRule="auto"/>
        <w:ind w:right="-1"/>
        <w:contextualSpacing w:val="0"/>
        <w:jc w:val="both"/>
        <w:rPr>
          <w:noProof/>
        </w:rPr>
      </w:pPr>
      <w:r w:rsidRPr="009E6BA4">
        <w:rPr>
          <w:noProof/>
        </w:rPr>
        <w:t>12 Council officers are undertaking apprenticeship courses through the apprenticeship levy (including degree level).</w:t>
      </w:r>
    </w:p>
    <w:p w:rsidR="009E6BA4" w:rsidRPr="009E6BA4" w:rsidRDefault="009E6BA4" w:rsidP="009E6BA4">
      <w:pPr>
        <w:pStyle w:val="ListParagraph"/>
        <w:numPr>
          <w:ilvl w:val="0"/>
          <w:numId w:val="3"/>
        </w:numPr>
        <w:spacing w:after="0" w:line="240" w:lineRule="auto"/>
        <w:ind w:right="-1"/>
        <w:contextualSpacing w:val="0"/>
        <w:jc w:val="both"/>
        <w:rPr>
          <w:noProof/>
        </w:rPr>
      </w:pPr>
      <w:r w:rsidRPr="009E6BA4">
        <w:rPr>
          <w:noProof/>
        </w:rPr>
        <w:t>Sickness absence has improved from an average of 9.62% in 2017/18 to 8.15% in 2018/19, this now being below the LGA England national average of 8.2%.</w:t>
      </w:r>
    </w:p>
    <w:p w:rsidR="009E6BA4" w:rsidRPr="009E6BA4" w:rsidRDefault="009E6BA4" w:rsidP="009E6BA4">
      <w:pPr>
        <w:pStyle w:val="ListParagraph"/>
        <w:numPr>
          <w:ilvl w:val="0"/>
          <w:numId w:val="3"/>
        </w:numPr>
        <w:spacing w:after="0" w:line="240" w:lineRule="auto"/>
        <w:ind w:right="-1"/>
        <w:contextualSpacing w:val="0"/>
        <w:jc w:val="both"/>
        <w:rPr>
          <w:noProof/>
        </w:rPr>
      </w:pPr>
      <w:r w:rsidRPr="009E6BA4">
        <w:rPr>
          <w:noProof/>
        </w:rPr>
        <w:t>The gender pay gap has also decreased from 2016/17 to 2017/18 as both a median and mean average figure:</w:t>
      </w:r>
    </w:p>
    <w:p w:rsidR="009E6BA4" w:rsidRPr="009E6BA4" w:rsidRDefault="009E6BA4" w:rsidP="009E6BA4">
      <w:pPr>
        <w:spacing w:after="0"/>
        <w:ind w:left="720"/>
        <w:rPr>
          <w:noProof/>
        </w:rPr>
      </w:pPr>
      <w:r w:rsidRPr="009E6BA4">
        <w:rPr>
          <w:noProof/>
        </w:rPr>
        <w:t>- Mean: 5.49% to 3.87%</w:t>
      </w:r>
    </w:p>
    <w:p w:rsidR="009E6BA4" w:rsidRPr="009E6BA4" w:rsidRDefault="009E6BA4" w:rsidP="009E6BA4">
      <w:pPr>
        <w:spacing w:after="0"/>
        <w:ind w:left="720"/>
        <w:rPr>
          <w:noProof/>
        </w:rPr>
      </w:pPr>
      <w:r w:rsidRPr="009E6BA4">
        <w:rPr>
          <w:noProof/>
        </w:rPr>
        <w:t xml:space="preserve">- Median: 0.61% to 0.42% </w:t>
      </w:r>
    </w:p>
    <w:p w:rsidR="009E6BA4" w:rsidRPr="009E6BA4" w:rsidRDefault="009E6BA4" w:rsidP="009E6BA4">
      <w:pPr>
        <w:spacing w:after="0"/>
        <w:ind w:left="720"/>
        <w:rPr>
          <w:noProof/>
        </w:rPr>
      </w:pPr>
      <w:r w:rsidRPr="009E6BA4">
        <w:rPr>
          <w:noProof/>
        </w:rPr>
        <w:t>(</w:t>
      </w:r>
      <w:r w:rsidRPr="009E6BA4">
        <w:rPr>
          <w:i/>
          <w:noProof/>
        </w:rPr>
        <w:t>Please note: gender pay gap figures are reported one year late</w:t>
      </w:r>
      <w:r w:rsidRPr="009E6BA4">
        <w:rPr>
          <w:noProof/>
        </w:rPr>
        <w:t>).</w:t>
      </w:r>
    </w:p>
    <w:p w:rsidR="009E6BA4" w:rsidRPr="009E6BA4" w:rsidRDefault="009E6BA4" w:rsidP="009E6BA4">
      <w:pPr>
        <w:spacing w:after="0"/>
        <w:ind w:right="-1"/>
        <w:rPr>
          <w:noProof/>
        </w:rPr>
      </w:pPr>
    </w:p>
    <w:p w:rsidR="00045464" w:rsidRPr="009E6BA4" w:rsidRDefault="00045464" w:rsidP="009E6BA4">
      <w:pPr>
        <w:spacing w:after="0"/>
      </w:pPr>
    </w:p>
    <w:p w:rsidR="00045464" w:rsidRPr="009E6BA4" w:rsidRDefault="00045464" w:rsidP="009E6BA4">
      <w:pPr>
        <w:spacing w:after="0"/>
      </w:pPr>
    </w:p>
    <w:p w:rsidR="00045464" w:rsidRPr="009E6BA4" w:rsidRDefault="00045464" w:rsidP="009E6BA4">
      <w:pPr>
        <w:spacing w:after="0"/>
      </w:pPr>
    </w:p>
    <w:sectPr w:rsidR="00045464" w:rsidRPr="009E6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387"/>
    <w:multiLevelType w:val="hybridMultilevel"/>
    <w:tmpl w:val="836AF9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6586A"/>
    <w:multiLevelType w:val="hybridMultilevel"/>
    <w:tmpl w:val="2C9A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07501"/>
    <w:multiLevelType w:val="hybridMultilevel"/>
    <w:tmpl w:val="F200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B2C64"/>
    <w:multiLevelType w:val="hybridMultilevel"/>
    <w:tmpl w:val="43BC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63152"/>
    <w:multiLevelType w:val="hybridMultilevel"/>
    <w:tmpl w:val="9BDA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5247C"/>
    <w:multiLevelType w:val="hybridMultilevel"/>
    <w:tmpl w:val="D348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B4"/>
    <w:rsid w:val="00045464"/>
    <w:rsid w:val="00057471"/>
    <w:rsid w:val="0015157A"/>
    <w:rsid w:val="00165520"/>
    <w:rsid w:val="00271B3D"/>
    <w:rsid w:val="007E0EB4"/>
    <w:rsid w:val="008C6444"/>
    <w:rsid w:val="009E6BA4"/>
    <w:rsid w:val="00C57D70"/>
    <w:rsid w:val="00EC6677"/>
    <w:rsid w:val="00EE3935"/>
    <w:rsid w:val="00F8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D8942-49BC-4F67-B177-26D1A5BE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71"/>
    <w:pPr>
      <w:ind w:left="720"/>
      <w:contextualSpacing/>
    </w:pPr>
  </w:style>
  <w:style w:type="table" w:styleId="TableGrid">
    <w:name w:val="Table Grid"/>
    <w:basedOn w:val="TableNormal"/>
    <w:uiPriority w:val="39"/>
    <w:rsid w:val="009E6B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9927">
      <w:bodyDiv w:val="1"/>
      <w:marLeft w:val="0"/>
      <w:marRight w:val="0"/>
      <w:marTop w:val="0"/>
      <w:marBottom w:val="0"/>
      <w:divBdr>
        <w:top w:val="none" w:sz="0" w:space="0" w:color="auto"/>
        <w:left w:val="none" w:sz="0" w:space="0" w:color="auto"/>
        <w:bottom w:val="none" w:sz="0" w:space="0" w:color="auto"/>
        <w:right w:val="none" w:sz="0" w:space="0" w:color="auto"/>
      </w:divBdr>
    </w:div>
    <w:div w:id="143594248">
      <w:bodyDiv w:val="1"/>
      <w:marLeft w:val="0"/>
      <w:marRight w:val="0"/>
      <w:marTop w:val="0"/>
      <w:marBottom w:val="0"/>
      <w:divBdr>
        <w:top w:val="none" w:sz="0" w:space="0" w:color="auto"/>
        <w:left w:val="none" w:sz="0" w:space="0" w:color="auto"/>
        <w:bottom w:val="none" w:sz="0" w:space="0" w:color="auto"/>
        <w:right w:val="none" w:sz="0" w:space="0" w:color="auto"/>
      </w:divBdr>
    </w:div>
    <w:div w:id="234510856">
      <w:bodyDiv w:val="1"/>
      <w:marLeft w:val="0"/>
      <w:marRight w:val="0"/>
      <w:marTop w:val="0"/>
      <w:marBottom w:val="0"/>
      <w:divBdr>
        <w:top w:val="none" w:sz="0" w:space="0" w:color="auto"/>
        <w:left w:val="none" w:sz="0" w:space="0" w:color="auto"/>
        <w:bottom w:val="none" w:sz="0" w:space="0" w:color="auto"/>
        <w:right w:val="none" w:sz="0" w:space="0" w:color="auto"/>
      </w:divBdr>
    </w:div>
    <w:div w:id="404454283">
      <w:bodyDiv w:val="1"/>
      <w:marLeft w:val="0"/>
      <w:marRight w:val="0"/>
      <w:marTop w:val="0"/>
      <w:marBottom w:val="0"/>
      <w:divBdr>
        <w:top w:val="none" w:sz="0" w:space="0" w:color="auto"/>
        <w:left w:val="none" w:sz="0" w:space="0" w:color="auto"/>
        <w:bottom w:val="none" w:sz="0" w:space="0" w:color="auto"/>
        <w:right w:val="none" w:sz="0" w:space="0" w:color="auto"/>
      </w:divBdr>
    </w:div>
    <w:div w:id="7967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1E74E1-7174-4B1F-B03C-3FA752430BD4}" type="doc">
      <dgm:prSet loTypeId="urn:microsoft.com/office/officeart/2005/8/layout/radial3" loCatId="cycle" qsTypeId="urn:microsoft.com/office/officeart/2005/8/quickstyle/3d3" qsCatId="3D" csTypeId="urn:microsoft.com/office/officeart/2005/8/colors/accent1_5" csCatId="accent1" phldr="1"/>
      <dgm:spPr/>
      <dgm:t>
        <a:bodyPr/>
        <a:lstStyle/>
        <a:p>
          <a:endParaRPr lang="en-GB"/>
        </a:p>
      </dgm:t>
    </dgm:pt>
    <dgm:pt modelId="{711BE9FA-60BE-4E1D-A61E-1B908508619A}">
      <dgm:prSet phldrT="[Text]" custT="1"/>
      <dgm:spPr/>
      <dgm:t>
        <a:bodyPr/>
        <a:lstStyle/>
        <a:p>
          <a:r>
            <a:rPr lang="en-GB" sz="2800">
              <a:latin typeface="Arial" panose="020B0604020202020204" pitchFamily="34" charset="0"/>
              <a:cs typeface="Arial" panose="020B0604020202020204" pitchFamily="34" charset="0"/>
            </a:rPr>
            <a:t>Our People</a:t>
          </a:r>
        </a:p>
      </dgm:t>
    </dgm:pt>
    <dgm:pt modelId="{DF514E06-956E-406E-920C-A427811E5B47}" type="parTrans" cxnId="{D3F5FEBC-02C8-46C8-9CE6-5B3D60020DA1}">
      <dgm:prSet/>
      <dgm:spPr/>
      <dgm:t>
        <a:bodyPr/>
        <a:lstStyle/>
        <a:p>
          <a:endParaRPr lang="en-GB"/>
        </a:p>
      </dgm:t>
    </dgm:pt>
    <dgm:pt modelId="{10B22E8E-E844-4D90-9EF8-BA14DDDE904D}" type="sibTrans" cxnId="{D3F5FEBC-02C8-46C8-9CE6-5B3D60020DA1}">
      <dgm:prSet/>
      <dgm:spPr/>
      <dgm:t>
        <a:bodyPr/>
        <a:lstStyle/>
        <a:p>
          <a:endParaRPr lang="en-GB"/>
        </a:p>
      </dgm:t>
    </dgm:pt>
    <dgm:pt modelId="{2F460D36-106F-4615-92CB-C357AF5148F1}">
      <dgm:prSet phldrT="[Text]" custT="1"/>
      <dgm:spPr/>
      <dgm:t>
        <a:bodyPr/>
        <a:lstStyle/>
        <a:p>
          <a:r>
            <a:rPr lang="en-GB" sz="1200">
              <a:latin typeface="Arial" panose="020B0604020202020204" pitchFamily="34" charset="0"/>
              <a:cs typeface="Arial" panose="020B0604020202020204" pitchFamily="34" charset="0"/>
            </a:rPr>
            <a:t>Excellence and Financial Sustainability</a:t>
          </a:r>
        </a:p>
      </dgm:t>
    </dgm:pt>
    <dgm:pt modelId="{D19BC57D-56EF-485B-8611-42FF5C34BE0D}" type="parTrans" cxnId="{8C1BF8A7-CDD7-4EAA-AA2D-7F9E0B96BB47}">
      <dgm:prSet/>
      <dgm:spPr/>
      <dgm:t>
        <a:bodyPr/>
        <a:lstStyle/>
        <a:p>
          <a:endParaRPr lang="en-GB"/>
        </a:p>
      </dgm:t>
    </dgm:pt>
    <dgm:pt modelId="{773B6A74-12EB-4276-A900-5B9DE86D6788}" type="sibTrans" cxnId="{8C1BF8A7-CDD7-4EAA-AA2D-7F9E0B96BB47}">
      <dgm:prSet/>
      <dgm:spPr/>
      <dgm:t>
        <a:bodyPr/>
        <a:lstStyle/>
        <a:p>
          <a:endParaRPr lang="en-GB"/>
        </a:p>
      </dgm:t>
    </dgm:pt>
    <dgm:pt modelId="{75D68D1B-CE96-4E1F-9BED-106A841058F2}">
      <dgm:prSet phldrT="[Text]" custT="1"/>
      <dgm:spPr/>
      <dgm:t>
        <a:bodyPr/>
        <a:lstStyle/>
        <a:p>
          <a:r>
            <a:rPr lang="en-GB" sz="2000">
              <a:latin typeface="Arial" panose="020B0604020202020204" pitchFamily="34" charset="0"/>
              <a:cs typeface="Arial" panose="020B0604020202020204" pitchFamily="34" charset="0"/>
            </a:rPr>
            <a:t/>
          </a:r>
          <a:br>
            <a:rPr lang="en-GB" sz="2000">
              <a:latin typeface="Arial" panose="020B0604020202020204" pitchFamily="34" charset="0"/>
              <a:cs typeface="Arial" panose="020B0604020202020204" pitchFamily="34" charset="0"/>
            </a:rPr>
          </a:br>
          <a:r>
            <a:rPr lang="en-GB" sz="2000">
              <a:latin typeface="Arial" panose="020B0604020202020204" pitchFamily="34" charset="0"/>
              <a:cs typeface="Arial" panose="020B0604020202020204" pitchFamily="34" charset="0"/>
            </a:rPr>
            <a:t/>
          </a:r>
          <a:br>
            <a:rPr lang="en-GB" sz="2000">
              <a:latin typeface="Arial" panose="020B0604020202020204" pitchFamily="34" charset="0"/>
              <a:cs typeface="Arial" panose="020B0604020202020204" pitchFamily="34" charset="0"/>
            </a:rPr>
          </a:br>
          <a:r>
            <a:rPr lang="en-GB" sz="1400">
              <a:latin typeface="Arial" panose="020B0604020202020204" pitchFamily="34" charset="0"/>
              <a:cs typeface="Arial" panose="020B0604020202020204" pitchFamily="34" charset="0"/>
            </a:rPr>
            <a:t>Health and Wellbeing</a:t>
          </a:r>
        </a:p>
      </dgm:t>
    </dgm:pt>
    <dgm:pt modelId="{BA9BAE7C-7ECB-441B-8D7F-04966620974A}" type="parTrans" cxnId="{0F1AC729-0775-4E50-83AB-94B7F766B400}">
      <dgm:prSet/>
      <dgm:spPr/>
      <dgm:t>
        <a:bodyPr/>
        <a:lstStyle/>
        <a:p>
          <a:endParaRPr lang="en-GB"/>
        </a:p>
      </dgm:t>
    </dgm:pt>
    <dgm:pt modelId="{D4551323-DC59-4220-A27E-34EC61B07C39}" type="sibTrans" cxnId="{0F1AC729-0775-4E50-83AB-94B7F766B400}">
      <dgm:prSet/>
      <dgm:spPr/>
      <dgm:t>
        <a:bodyPr/>
        <a:lstStyle/>
        <a:p>
          <a:endParaRPr lang="en-GB"/>
        </a:p>
      </dgm:t>
    </dgm:pt>
    <dgm:pt modelId="{3165DC59-034B-4EEA-A9A1-27E2DA98131F}">
      <dgm:prSet phldrT="[Text]" custT="1"/>
      <dgm:spPr/>
      <dgm:t>
        <a:bodyPr/>
        <a:lstStyle/>
        <a:p>
          <a:r>
            <a:rPr lang="en-GB" sz="2000">
              <a:latin typeface="Arial" panose="020B0604020202020204" pitchFamily="34" charset="0"/>
              <a:cs typeface="Arial" panose="020B0604020202020204" pitchFamily="34" charset="0"/>
            </a:rPr>
            <a:t/>
          </a:r>
          <a:br>
            <a:rPr lang="en-GB" sz="2000">
              <a:latin typeface="Arial" panose="020B0604020202020204" pitchFamily="34" charset="0"/>
              <a:cs typeface="Arial" panose="020B0604020202020204" pitchFamily="34" charset="0"/>
            </a:rPr>
          </a:br>
          <a:r>
            <a:rPr lang="en-GB" sz="1600">
              <a:latin typeface="Arial" panose="020B0604020202020204" pitchFamily="34" charset="0"/>
              <a:cs typeface="Arial" panose="020B0604020202020204" pitchFamily="34" charset="0"/>
            </a:rPr>
            <a:t/>
          </a:r>
          <a:br>
            <a:rPr lang="en-GB" sz="1600">
              <a:latin typeface="Arial" panose="020B0604020202020204" pitchFamily="34" charset="0"/>
              <a:cs typeface="Arial" panose="020B0604020202020204" pitchFamily="34" charset="0"/>
            </a:rPr>
          </a:br>
          <a:r>
            <a:rPr lang="en-GB" sz="1600">
              <a:latin typeface="Arial" panose="020B0604020202020204" pitchFamily="34" charset="0"/>
              <a:cs typeface="Arial" panose="020B0604020202020204" pitchFamily="34" charset="0"/>
            </a:rPr>
            <a:t>Place</a:t>
          </a:r>
        </a:p>
      </dgm:t>
    </dgm:pt>
    <dgm:pt modelId="{ED620BC4-A700-40BA-8EA5-510881343B01}" type="parTrans" cxnId="{7A7971C8-AB0F-4BCE-B47C-841FB31D375F}">
      <dgm:prSet/>
      <dgm:spPr/>
      <dgm:t>
        <a:bodyPr/>
        <a:lstStyle/>
        <a:p>
          <a:endParaRPr lang="en-GB"/>
        </a:p>
      </dgm:t>
    </dgm:pt>
    <dgm:pt modelId="{E1A49A54-5CE3-4993-8B66-CF1EEE982C6F}" type="sibTrans" cxnId="{7A7971C8-AB0F-4BCE-B47C-841FB31D375F}">
      <dgm:prSet/>
      <dgm:spPr/>
      <dgm:t>
        <a:bodyPr/>
        <a:lstStyle/>
        <a:p>
          <a:endParaRPr lang="en-GB"/>
        </a:p>
      </dgm:t>
    </dgm:pt>
    <dgm:pt modelId="{0D51015F-CA48-4BF3-98FF-D34448985A88}">
      <dgm:prSet phldrT="[Text]"/>
      <dgm:spPr/>
      <dgm:t>
        <a:bodyPr/>
        <a:lstStyle/>
        <a:p>
          <a:endParaRPr lang="en-GB"/>
        </a:p>
      </dgm:t>
    </dgm:pt>
    <dgm:pt modelId="{EA9763B4-05E9-416B-86C3-A1222C140856}" type="parTrans" cxnId="{2B2A21A2-4486-4989-A86E-F7EFAFC176F9}">
      <dgm:prSet/>
      <dgm:spPr/>
      <dgm:t>
        <a:bodyPr/>
        <a:lstStyle/>
        <a:p>
          <a:endParaRPr lang="en-GB"/>
        </a:p>
      </dgm:t>
    </dgm:pt>
    <dgm:pt modelId="{6143A005-5857-4839-ADD9-7A89FED21D49}" type="sibTrans" cxnId="{2B2A21A2-4486-4989-A86E-F7EFAFC176F9}">
      <dgm:prSet/>
      <dgm:spPr/>
      <dgm:t>
        <a:bodyPr/>
        <a:lstStyle/>
        <a:p>
          <a:endParaRPr lang="en-GB"/>
        </a:p>
      </dgm:t>
    </dgm:pt>
    <dgm:pt modelId="{60B7332F-BB2E-4F19-8A99-6D5D18D31A6F}" type="pres">
      <dgm:prSet presAssocID="{CB1E74E1-7174-4B1F-B03C-3FA752430BD4}" presName="composite" presStyleCnt="0">
        <dgm:presLayoutVars>
          <dgm:chMax val="1"/>
          <dgm:dir/>
          <dgm:resizeHandles val="exact"/>
        </dgm:presLayoutVars>
      </dgm:prSet>
      <dgm:spPr/>
      <dgm:t>
        <a:bodyPr/>
        <a:lstStyle/>
        <a:p>
          <a:endParaRPr lang="en-GB"/>
        </a:p>
      </dgm:t>
    </dgm:pt>
    <dgm:pt modelId="{8F24A279-614A-47BE-B6A5-287989351F2B}" type="pres">
      <dgm:prSet presAssocID="{CB1E74E1-7174-4B1F-B03C-3FA752430BD4}" presName="radial" presStyleCnt="0">
        <dgm:presLayoutVars>
          <dgm:animLvl val="ctr"/>
        </dgm:presLayoutVars>
      </dgm:prSet>
      <dgm:spPr/>
    </dgm:pt>
    <dgm:pt modelId="{0EE57869-5BBE-4FA1-97DC-35E0309B4FF2}" type="pres">
      <dgm:prSet presAssocID="{711BE9FA-60BE-4E1D-A61E-1B908508619A}" presName="centerShape" presStyleLbl="vennNode1" presStyleIdx="0" presStyleCnt="4"/>
      <dgm:spPr/>
      <dgm:t>
        <a:bodyPr/>
        <a:lstStyle/>
        <a:p>
          <a:endParaRPr lang="en-GB"/>
        </a:p>
      </dgm:t>
    </dgm:pt>
    <dgm:pt modelId="{0F743281-C316-4BC2-ADB7-742037450407}" type="pres">
      <dgm:prSet presAssocID="{2F460D36-106F-4615-92CB-C357AF5148F1}" presName="node" presStyleLbl="vennNode1" presStyleIdx="1" presStyleCnt="4" custScaleX="147113" custScaleY="139072">
        <dgm:presLayoutVars>
          <dgm:bulletEnabled val="1"/>
        </dgm:presLayoutVars>
      </dgm:prSet>
      <dgm:spPr/>
      <dgm:t>
        <a:bodyPr/>
        <a:lstStyle/>
        <a:p>
          <a:endParaRPr lang="en-GB"/>
        </a:p>
      </dgm:t>
    </dgm:pt>
    <dgm:pt modelId="{DFB32745-C7E2-4D01-9CF7-3563F3459679}" type="pres">
      <dgm:prSet presAssocID="{75D68D1B-CE96-4E1F-9BED-106A841058F2}" presName="node" presStyleLbl="vennNode1" presStyleIdx="2" presStyleCnt="4" custScaleX="147113" custScaleY="139072">
        <dgm:presLayoutVars>
          <dgm:bulletEnabled val="1"/>
        </dgm:presLayoutVars>
      </dgm:prSet>
      <dgm:spPr/>
      <dgm:t>
        <a:bodyPr/>
        <a:lstStyle/>
        <a:p>
          <a:endParaRPr lang="en-GB"/>
        </a:p>
      </dgm:t>
    </dgm:pt>
    <dgm:pt modelId="{FDC8D3B6-BA62-4664-A2D9-0C1A91E337BB}" type="pres">
      <dgm:prSet presAssocID="{3165DC59-034B-4EEA-A9A1-27E2DA98131F}" presName="node" presStyleLbl="vennNode1" presStyleIdx="3" presStyleCnt="4" custScaleX="147113" custScaleY="139072">
        <dgm:presLayoutVars>
          <dgm:bulletEnabled val="1"/>
        </dgm:presLayoutVars>
      </dgm:prSet>
      <dgm:spPr/>
      <dgm:t>
        <a:bodyPr/>
        <a:lstStyle/>
        <a:p>
          <a:endParaRPr lang="en-GB"/>
        </a:p>
      </dgm:t>
    </dgm:pt>
  </dgm:ptLst>
  <dgm:cxnLst>
    <dgm:cxn modelId="{785BEDFE-8A7E-4796-B4CD-78171E48C8BF}" type="presOf" srcId="{CB1E74E1-7174-4B1F-B03C-3FA752430BD4}" destId="{60B7332F-BB2E-4F19-8A99-6D5D18D31A6F}" srcOrd="0" destOrd="0" presId="urn:microsoft.com/office/officeart/2005/8/layout/radial3"/>
    <dgm:cxn modelId="{287206BB-4061-493D-A3FE-AF2A828FE28A}" type="presOf" srcId="{3165DC59-034B-4EEA-A9A1-27E2DA98131F}" destId="{FDC8D3B6-BA62-4664-A2D9-0C1A91E337BB}" srcOrd="0" destOrd="0" presId="urn:microsoft.com/office/officeart/2005/8/layout/radial3"/>
    <dgm:cxn modelId="{D3F5FEBC-02C8-46C8-9CE6-5B3D60020DA1}" srcId="{CB1E74E1-7174-4B1F-B03C-3FA752430BD4}" destId="{711BE9FA-60BE-4E1D-A61E-1B908508619A}" srcOrd="0" destOrd="0" parTransId="{DF514E06-956E-406E-920C-A427811E5B47}" sibTransId="{10B22E8E-E844-4D90-9EF8-BA14DDDE904D}"/>
    <dgm:cxn modelId="{44DF517E-A7B6-4372-959F-94652B5B1D61}" type="presOf" srcId="{711BE9FA-60BE-4E1D-A61E-1B908508619A}" destId="{0EE57869-5BBE-4FA1-97DC-35E0309B4FF2}" srcOrd="0" destOrd="0" presId="urn:microsoft.com/office/officeart/2005/8/layout/radial3"/>
    <dgm:cxn modelId="{2B2A21A2-4486-4989-A86E-F7EFAFC176F9}" srcId="{CB1E74E1-7174-4B1F-B03C-3FA752430BD4}" destId="{0D51015F-CA48-4BF3-98FF-D34448985A88}" srcOrd="1" destOrd="0" parTransId="{EA9763B4-05E9-416B-86C3-A1222C140856}" sibTransId="{6143A005-5857-4839-ADD9-7A89FED21D49}"/>
    <dgm:cxn modelId="{237072E1-35FE-4D80-8C58-F1BA5B85278C}" type="presOf" srcId="{75D68D1B-CE96-4E1F-9BED-106A841058F2}" destId="{DFB32745-C7E2-4D01-9CF7-3563F3459679}" srcOrd="0" destOrd="0" presId="urn:microsoft.com/office/officeart/2005/8/layout/radial3"/>
    <dgm:cxn modelId="{8C1BF8A7-CDD7-4EAA-AA2D-7F9E0B96BB47}" srcId="{711BE9FA-60BE-4E1D-A61E-1B908508619A}" destId="{2F460D36-106F-4615-92CB-C357AF5148F1}" srcOrd="0" destOrd="0" parTransId="{D19BC57D-56EF-485B-8611-42FF5C34BE0D}" sibTransId="{773B6A74-12EB-4276-A900-5B9DE86D6788}"/>
    <dgm:cxn modelId="{0F1AC729-0775-4E50-83AB-94B7F766B400}" srcId="{711BE9FA-60BE-4E1D-A61E-1B908508619A}" destId="{75D68D1B-CE96-4E1F-9BED-106A841058F2}" srcOrd="1" destOrd="0" parTransId="{BA9BAE7C-7ECB-441B-8D7F-04966620974A}" sibTransId="{D4551323-DC59-4220-A27E-34EC61B07C39}"/>
    <dgm:cxn modelId="{73567820-8408-4295-9270-F90DE40115CD}" type="presOf" srcId="{2F460D36-106F-4615-92CB-C357AF5148F1}" destId="{0F743281-C316-4BC2-ADB7-742037450407}" srcOrd="0" destOrd="0" presId="urn:microsoft.com/office/officeart/2005/8/layout/radial3"/>
    <dgm:cxn modelId="{7A7971C8-AB0F-4BCE-B47C-841FB31D375F}" srcId="{711BE9FA-60BE-4E1D-A61E-1B908508619A}" destId="{3165DC59-034B-4EEA-A9A1-27E2DA98131F}" srcOrd="2" destOrd="0" parTransId="{ED620BC4-A700-40BA-8EA5-510881343B01}" sibTransId="{E1A49A54-5CE3-4993-8B66-CF1EEE982C6F}"/>
    <dgm:cxn modelId="{A1FF00DA-01C5-408F-86CA-86F93EA644F2}" type="presParOf" srcId="{60B7332F-BB2E-4F19-8A99-6D5D18D31A6F}" destId="{8F24A279-614A-47BE-B6A5-287989351F2B}" srcOrd="0" destOrd="0" presId="urn:microsoft.com/office/officeart/2005/8/layout/radial3"/>
    <dgm:cxn modelId="{EE31C5E8-0FE5-4DB5-BFFD-F105F2A1DE1E}" type="presParOf" srcId="{8F24A279-614A-47BE-B6A5-287989351F2B}" destId="{0EE57869-5BBE-4FA1-97DC-35E0309B4FF2}" srcOrd="0" destOrd="0" presId="urn:microsoft.com/office/officeart/2005/8/layout/radial3"/>
    <dgm:cxn modelId="{FEFD8C19-23B7-4ACF-82D5-2852CF103B30}" type="presParOf" srcId="{8F24A279-614A-47BE-B6A5-287989351F2B}" destId="{0F743281-C316-4BC2-ADB7-742037450407}" srcOrd="1" destOrd="0" presId="urn:microsoft.com/office/officeart/2005/8/layout/radial3"/>
    <dgm:cxn modelId="{5F5FF5B3-303C-4B47-880C-5A019DC1B9F2}" type="presParOf" srcId="{8F24A279-614A-47BE-B6A5-287989351F2B}" destId="{DFB32745-C7E2-4D01-9CF7-3563F3459679}" srcOrd="2" destOrd="0" presId="urn:microsoft.com/office/officeart/2005/8/layout/radial3"/>
    <dgm:cxn modelId="{0446809E-D9A8-4A83-99C0-A79F7A39445C}" type="presParOf" srcId="{8F24A279-614A-47BE-B6A5-287989351F2B}" destId="{FDC8D3B6-BA62-4664-A2D9-0C1A91E337BB}" srcOrd="3" destOrd="0" presId="urn:microsoft.com/office/officeart/2005/8/layout/radial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E57869-5BBE-4FA1-97DC-35E0309B4FF2}">
      <dsp:nvSpPr>
        <dsp:cNvPr id="0" name=""/>
        <dsp:cNvSpPr/>
      </dsp:nvSpPr>
      <dsp:spPr>
        <a:xfrm>
          <a:off x="1064110" y="921154"/>
          <a:ext cx="1932604" cy="1932604"/>
        </a:xfrm>
        <a:prstGeom prst="ellipse">
          <a:avLst/>
        </a:prstGeom>
        <a:solidFill>
          <a:schemeClr val="accent1">
            <a:shade val="80000"/>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GB" sz="2800" kern="1200">
              <a:latin typeface="Arial" panose="020B0604020202020204" pitchFamily="34" charset="0"/>
              <a:cs typeface="Arial" panose="020B0604020202020204" pitchFamily="34" charset="0"/>
            </a:rPr>
            <a:t>Our People</a:t>
          </a:r>
        </a:p>
      </dsp:txBody>
      <dsp:txXfrm>
        <a:off x="1347133" y="1204177"/>
        <a:ext cx="1366558" cy="1366558"/>
      </dsp:txXfrm>
    </dsp:sp>
    <dsp:sp modelId="{0F743281-C316-4BC2-ADB7-742037450407}">
      <dsp:nvSpPr>
        <dsp:cNvPr id="0" name=""/>
        <dsp:cNvSpPr/>
      </dsp:nvSpPr>
      <dsp:spPr>
        <a:xfrm>
          <a:off x="1319634" y="-41811"/>
          <a:ext cx="1421556" cy="1343856"/>
        </a:xfrm>
        <a:prstGeom prst="ellipse">
          <a:avLst/>
        </a:prstGeom>
        <a:solidFill>
          <a:schemeClr val="accent1">
            <a:shade val="80000"/>
            <a:alpha val="50000"/>
            <a:hueOff val="-19"/>
            <a:satOff val="4005"/>
            <a:lumOff val="1927"/>
            <a:alphaOff val="1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Excellence and Financial Sustainability</a:t>
          </a:r>
        </a:p>
      </dsp:txBody>
      <dsp:txXfrm>
        <a:off x="1527816" y="154992"/>
        <a:ext cx="1005192" cy="950250"/>
      </dsp:txXfrm>
    </dsp:sp>
    <dsp:sp modelId="{DFB32745-C7E2-4D01-9CF7-3563F3459679}">
      <dsp:nvSpPr>
        <dsp:cNvPr id="0" name=""/>
        <dsp:cNvSpPr/>
      </dsp:nvSpPr>
      <dsp:spPr>
        <a:xfrm>
          <a:off x="2408522" y="1844198"/>
          <a:ext cx="1421556" cy="1343856"/>
        </a:xfrm>
        <a:prstGeom prst="ellipse">
          <a:avLst/>
        </a:prstGeom>
        <a:solidFill>
          <a:schemeClr val="accent1">
            <a:shade val="80000"/>
            <a:alpha val="50000"/>
            <a:hueOff val="-38"/>
            <a:satOff val="8010"/>
            <a:lumOff val="3853"/>
            <a:alphaOff val="2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
          </a:r>
          <a:br>
            <a:rPr lang="en-GB" sz="2000" kern="1200">
              <a:latin typeface="Arial" panose="020B0604020202020204" pitchFamily="34" charset="0"/>
              <a:cs typeface="Arial" panose="020B0604020202020204" pitchFamily="34" charset="0"/>
            </a:rPr>
          </a:br>
          <a:r>
            <a:rPr lang="en-GB" sz="2000" kern="1200">
              <a:latin typeface="Arial" panose="020B0604020202020204" pitchFamily="34" charset="0"/>
              <a:cs typeface="Arial" panose="020B0604020202020204" pitchFamily="34" charset="0"/>
            </a:rPr>
            <a:t/>
          </a:r>
          <a:br>
            <a:rPr lang="en-GB" sz="2000" kern="1200">
              <a:latin typeface="Arial" panose="020B0604020202020204" pitchFamily="34" charset="0"/>
              <a:cs typeface="Arial" panose="020B0604020202020204" pitchFamily="34" charset="0"/>
            </a:rPr>
          </a:br>
          <a:r>
            <a:rPr lang="en-GB" sz="1400" kern="1200">
              <a:latin typeface="Arial" panose="020B0604020202020204" pitchFamily="34" charset="0"/>
              <a:cs typeface="Arial" panose="020B0604020202020204" pitchFamily="34" charset="0"/>
            </a:rPr>
            <a:t>Health and Wellbeing</a:t>
          </a:r>
        </a:p>
      </dsp:txBody>
      <dsp:txXfrm>
        <a:off x="2616704" y="2041001"/>
        <a:ext cx="1005192" cy="950250"/>
      </dsp:txXfrm>
    </dsp:sp>
    <dsp:sp modelId="{FDC8D3B6-BA62-4664-A2D9-0C1A91E337BB}">
      <dsp:nvSpPr>
        <dsp:cNvPr id="0" name=""/>
        <dsp:cNvSpPr/>
      </dsp:nvSpPr>
      <dsp:spPr>
        <a:xfrm>
          <a:off x="230745" y="1844198"/>
          <a:ext cx="1421556" cy="1343856"/>
        </a:xfrm>
        <a:prstGeom prst="ellipse">
          <a:avLst/>
        </a:prstGeom>
        <a:solidFill>
          <a:schemeClr val="accent1">
            <a:shade val="80000"/>
            <a:alpha val="50000"/>
            <a:hueOff val="-57"/>
            <a:satOff val="12015"/>
            <a:lumOff val="5780"/>
            <a:alphaOff val="3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
          </a:r>
          <a:br>
            <a:rPr lang="en-GB" sz="2000" kern="1200">
              <a:latin typeface="Arial" panose="020B0604020202020204" pitchFamily="34" charset="0"/>
              <a:cs typeface="Arial" panose="020B0604020202020204" pitchFamily="34" charset="0"/>
            </a:rPr>
          </a:br>
          <a:r>
            <a:rPr lang="en-GB" sz="1600" kern="1200">
              <a:latin typeface="Arial" panose="020B0604020202020204" pitchFamily="34" charset="0"/>
              <a:cs typeface="Arial" panose="020B0604020202020204" pitchFamily="34" charset="0"/>
            </a:rPr>
            <a:t/>
          </a:r>
          <a:br>
            <a:rPr lang="en-GB" sz="1600" kern="1200">
              <a:latin typeface="Arial" panose="020B0604020202020204" pitchFamily="34" charset="0"/>
              <a:cs typeface="Arial" panose="020B0604020202020204" pitchFamily="34" charset="0"/>
            </a:rPr>
          </a:br>
          <a:r>
            <a:rPr lang="en-GB" sz="1600" kern="1200">
              <a:latin typeface="Arial" panose="020B0604020202020204" pitchFamily="34" charset="0"/>
              <a:cs typeface="Arial" panose="020B0604020202020204" pitchFamily="34" charset="0"/>
            </a:rPr>
            <a:t>Place</a:t>
          </a:r>
        </a:p>
      </dsp:txBody>
      <dsp:txXfrm>
        <a:off x="438927" y="2041001"/>
        <a:ext cx="1005192" cy="9502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4154</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Furber, Tony</dc:creator>
  <cp:keywords/>
  <dc:description/>
  <cp:lastModifiedBy>Furber, Tony</cp:lastModifiedBy>
  <cp:revision>8</cp:revision>
  <dcterms:created xsi:type="dcterms:W3CDTF">2019-05-28T14:41:00Z</dcterms:created>
  <dcterms:modified xsi:type="dcterms:W3CDTF">2019-05-28T15:41:00Z</dcterms:modified>
</cp:coreProperties>
</file>